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410" w:rsidRPr="00D62118" w:rsidRDefault="00CF5410">
      <w:pPr>
        <w:rPr>
          <w:sz w:val="22"/>
          <w:lang w:val="en-US"/>
        </w:rPr>
      </w:pPr>
    </w:p>
    <w:p w:rsidR="00CF5410" w:rsidRPr="00D62118" w:rsidRDefault="00CF5410">
      <w:pPr>
        <w:rPr>
          <w:sz w:val="22"/>
          <w:lang w:val="en-US"/>
        </w:rPr>
      </w:pPr>
      <w:r w:rsidRPr="00D62118">
        <w:rPr>
          <w:sz w:val="22"/>
          <w:lang w:val="en-US"/>
        </w:rPr>
        <w:t>Conley, Tom</w:t>
      </w:r>
      <w:r w:rsidRPr="00D62118">
        <w:rPr>
          <w:sz w:val="22"/>
          <w:lang w:val="en-US"/>
        </w:rPr>
        <w:tab/>
      </w:r>
      <w:r w:rsidRPr="00D62118">
        <w:rPr>
          <w:sz w:val="22"/>
          <w:lang w:val="en-US"/>
        </w:rPr>
        <w:tab/>
      </w:r>
      <w:r w:rsidRPr="00D62118">
        <w:rPr>
          <w:sz w:val="22"/>
          <w:lang w:val="en-US"/>
        </w:rPr>
        <w:tab/>
      </w:r>
      <w:r w:rsidRPr="00D62118">
        <w:rPr>
          <w:sz w:val="22"/>
          <w:lang w:val="en-US"/>
        </w:rPr>
        <w:tab/>
      </w:r>
      <w:r w:rsidRPr="00D62118">
        <w:rPr>
          <w:sz w:val="22"/>
          <w:lang w:val="en-US"/>
        </w:rPr>
        <w:tab/>
      </w:r>
      <w:r w:rsidRPr="00D62118">
        <w:rPr>
          <w:sz w:val="22"/>
          <w:lang w:val="en-US"/>
        </w:rPr>
        <w:tab/>
      </w:r>
      <w:r w:rsidRPr="00D62118">
        <w:rPr>
          <w:sz w:val="22"/>
          <w:lang w:val="en-US"/>
        </w:rPr>
        <w:tab/>
        <w:t xml:space="preserve">Office Hours: in the Kirkland </w:t>
      </w:r>
    </w:p>
    <w:p w:rsidR="00CF5410" w:rsidRPr="00D62118" w:rsidRDefault="00CF5410" w:rsidP="00CF5410">
      <w:pPr>
        <w:rPr>
          <w:sz w:val="22"/>
          <w:lang w:val="en-US"/>
        </w:rPr>
      </w:pPr>
      <w:r w:rsidRPr="00D62118">
        <w:rPr>
          <w:sz w:val="22"/>
          <w:lang w:val="en-US"/>
        </w:rPr>
        <w:t>Romance Languages and Visual/Environmental Studies</w:t>
      </w:r>
      <w:r w:rsidRPr="00D62118">
        <w:rPr>
          <w:sz w:val="22"/>
          <w:lang w:val="en-US"/>
        </w:rPr>
        <w:tab/>
        <w:t>Dining Hall (anytime)</w:t>
      </w:r>
    </w:p>
    <w:p w:rsidR="00CF5410" w:rsidRPr="00D62118" w:rsidRDefault="00CF5410" w:rsidP="00CF5410">
      <w:pPr>
        <w:rPr>
          <w:sz w:val="22"/>
          <w:lang w:val="en-US"/>
        </w:rPr>
      </w:pPr>
      <w:r w:rsidRPr="00D62118">
        <w:rPr>
          <w:sz w:val="22"/>
          <w:lang w:val="en-US"/>
        </w:rPr>
        <w:t>Kirkland House, 85 Dunster St.</w:t>
      </w:r>
      <w:r w:rsidRPr="00D62118">
        <w:rPr>
          <w:sz w:val="22"/>
          <w:lang w:val="en-US"/>
        </w:rPr>
        <w:tab/>
      </w:r>
      <w:r w:rsidRPr="00D62118">
        <w:rPr>
          <w:sz w:val="22"/>
          <w:lang w:val="en-US"/>
        </w:rPr>
        <w:tab/>
      </w:r>
      <w:r w:rsidRPr="00D62118">
        <w:rPr>
          <w:sz w:val="22"/>
          <w:lang w:val="en-US"/>
        </w:rPr>
        <w:tab/>
      </w:r>
      <w:r w:rsidRPr="00D62118">
        <w:rPr>
          <w:sz w:val="22"/>
          <w:lang w:val="en-US"/>
        </w:rPr>
        <w:tab/>
        <w:t>617-493-8220 or 617-495-2274</w:t>
      </w:r>
    </w:p>
    <w:p w:rsidR="00CF5410" w:rsidRPr="00D62118" w:rsidRDefault="00CF5410">
      <w:pPr>
        <w:rPr>
          <w:sz w:val="22"/>
          <w:lang w:val="en-US"/>
        </w:rPr>
      </w:pPr>
      <w:r w:rsidRPr="00D62118">
        <w:rPr>
          <w:sz w:val="22"/>
          <w:lang w:val="en-US"/>
        </w:rPr>
        <w:t>Harvard University</w:t>
      </w:r>
      <w:r w:rsidRPr="00D62118">
        <w:rPr>
          <w:sz w:val="22"/>
          <w:lang w:val="en-US"/>
        </w:rPr>
        <w:tab/>
      </w:r>
      <w:r w:rsidRPr="00D62118">
        <w:rPr>
          <w:sz w:val="22"/>
          <w:lang w:val="en-US"/>
        </w:rPr>
        <w:tab/>
      </w:r>
      <w:r w:rsidRPr="00D62118">
        <w:rPr>
          <w:sz w:val="22"/>
          <w:lang w:val="en-US"/>
        </w:rPr>
        <w:tab/>
      </w:r>
      <w:r w:rsidRPr="00D62118">
        <w:rPr>
          <w:sz w:val="22"/>
          <w:lang w:val="en-US"/>
        </w:rPr>
        <w:tab/>
      </w:r>
      <w:r w:rsidRPr="00D62118">
        <w:rPr>
          <w:sz w:val="22"/>
          <w:lang w:val="en-US"/>
        </w:rPr>
        <w:tab/>
      </w:r>
      <w:r w:rsidRPr="00D62118">
        <w:rPr>
          <w:sz w:val="22"/>
          <w:lang w:val="en-US"/>
        </w:rPr>
        <w:tab/>
      </w:r>
      <w:hyperlink r:id="rId8" w:history="1">
        <w:r w:rsidRPr="00D62118">
          <w:rPr>
            <w:rStyle w:val="Hyperlink"/>
            <w:sz w:val="22"/>
            <w:lang w:val="en-US"/>
          </w:rPr>
          <w:t>tconley@fas.harvard.edu</w:t>
        </w:r>
      </w:hyperlink>
    </w:p>
    <w:p w:rsidR="00CF5410" w:rsidRDefault="00CF5410">
      <w:pPr>
        <w:rPr>
          <w:sz w:val="22"/>
          <w:lang w:val="en-US"/>
        </w:rPr>
      </w:pPr>
    </w:p>
    <w:p w:rsidR="00CF5410" w:rsidRDefault="00CF5410">
      <w:pPr>
        <w:rPr>
          <w:sz w:val="22"/>
          <w:lang w:val="en-US"/>
        </w:rPr>
      </w:pPr>
    </w:p>
    <w:p w:rsidR="00CF5410" w:rsidRDefault="00CF5410">
      <w:pPr>
        <w:rPr>
          <w:sz w:val="22"/>
          <w:lang w:val="en-US"/>
        </w:rPr>
      </w:pPr>
    </w:p>
    <w:p w:rsidR="00CF5410" w:rsidRDefault="00CF5410">
      <w:pPr>
        <w:rPr>
          <w:sz w:val="22"/>
          <w:lang w:val="en-US"/>
        </w:rPr>
      </w:pPr>
    </w:p>
    <w:p w:rsidR="00CF5410" w:rsidRDefault="00C07A4C">
      <w:pPr>
        <w:rPr>
          <w:sz w:val="22"/>
          <w:lang w:val="en-US"/>
        </w:rPr>
      </w:pPr>
      <w:r>
        <w:rPr>
          <w:noProof/>
          <w:sz w:val="22"/>
          <w:lang w:val="en-US"/>
        </w:rPr>
        <w:drawing>
          <wp:inline distT="0" distB="0" distL="0" distR="0">
            <wp:extent cx="5486400" cy="3667125"/>
            <wp:effectExtent l="0" t="0" r="0" b="9525"/>
            <wp:docPr id="1" name="Picture 1" descr="saint-emilion spring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int-emilion spring 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667125"/>
                    </a:xfrm>
                    <a:prstGeom prst="rect">
                      <a:avLst/>
                    </a:prstGeom>
                    <a:noFill/>
                    <a:ln>
                      <a:noFill/>
                    </a:ln>
                  </pic:spPr>
                </pic:pic>
              </a:graphicData>
            </a:graphic>
          </wp:inline>
        </w:drawing>
      </w:r>
    </w:p>
    <w:p w:rsidR="00CF5410" w:rsidRDefault="00CF5410">
      <w:pPr>
        <w:rPr>
          <w:sz w:val="22"/>
          <w:lang w:val="en-US"/>
        </w:rPr>
      </w:pPr>
    </w:p>
    <w:p w:rsidR="00CF5410" w:rsidRDefault="00CF5410">
      <w:pPr>
        <w:rPr>
          <w:sz w:val="22"/>
          <w:lang w:val="en-US"/>
        </w:rPr>
      </w:pPr>
    </w:p>
    <w:p w:rsidR="00CF5410" w:rsidRDefault="00CF5410">
      <w:pPr>
        <w:rPr>
          <w:sz w:val="22"/>
          <w:lang w:val="en-US"/>
        </w:rPr>
      </w:pPr>
      <w:r>
        <w:rPr>
          <w:sz w:val="22"/>
          <w:lang w:val="en-US"/>
        </w:rPr>
        <w:tab/>
      </w:r>
      <w:r>
        <w:rPr>
          <w:sz w:val="22"/>
          <w:lang w:val="en-US"/>
        </w:rPr>
        <w:tab/>
      </w:r>
      <w:r>
        <w:rPr>
          <w:sz w:val="22"/>
          <w:lang w:val="en-US"/>
        </w:rPr>
        <w:tab/>
      </w:r>
      <w:r>
        <w:rPr>
          <w:sz w:val="22"/>
          <w:lang w:val="en-US"/>
        </w:rPr>
        <w:tab/>
        <w:t>Saint-Emilion (May 1, 2008)</w:t>
      </w:r>
    </w:p>
    <w:p w:rsidR="00CF5410" w:rsidRDefault="00CF5410">
      <w:pPr>
        <w:rPr>
          <w:sz w:val="22"/>
          <w:lang w:val="en-US"/>
        </w:rPr>
      </w:pPr>
    </w:p>
    <w:p w:rsidR="00CF5410" w:rsidRDefault="00CF5410">
      <w:pPr>
        <w:rPr>
          <w:sz w:val="22"/>
          <w:lang w:val="en-US"/>
        </w:rPr>
      </w:pPr>
    </w:p>
    <w:p w:rsidR="00CF5410" w:rsidRPr="00D62118" w:rsidRDefault="00CF5410">
      <w:pPr>
        <w:rPr>
          <w:sz w:val="22"/>
          <w:lang w:val="en-US"/>
        </w:rPr>
      </w:pPr>
      <w:r w:rsidRPr="00D62118">
        <w:rPr>
          <w:sz w:val="22"/>
          <w:lang w:val="en-US"/>
        </w:rPr>
        <w:t xml:space="preserve">Oenography : </w:t>
      </w:r>
      <w:r>
        <w:rPr>
          <w:sz w:val="22"/>
          <w:lang w:val="en-US"/>
        </w:rPr>
        <w:t>Topologies</w:t>
      </w:r>
      <w:r w:rsidRPr="00D62118">
        <w:rPr>
          <w:sz w:val="22"/>
          <w:lang w:val="en-US"/>
        </w:rPr>
        <w:t xml:space="preserve"> of Wine</w:t>
      </w:r>
    </w:p>
    <w:p w:rsidR="00CF5410" w:rsidRPr="00D62118" w:rsidRDefault="00CF5410">
      <w:pPr>
        <w:rPr>
          <w:sz w:val="22"/>
          <w:lang w:val="en-US"/>
        </w:rPr>
      </w:pPr>
    </w:p>
    <w:p w:rsidR="00CF5410" w:rsidRPr="00D62118" w:rsidRDefault="00CF5410">
      <w:pPr>
        <w:rPr>
          <w:sz w:val="22"/>
          <w:lang w:val="en-US"/>
        </w:rPr>
      </w:pPr>
    </w:p>
    <w:p w:rsidR="00CF5410" w:rsidRPr="00D62118" w:rsidRDefault="00CF5410">
      <w:pPr>
        <w:rPr>
          <w:i/>
          <w:sz w:val="22"/>
          <w:lang w:val="en-US"/>
        </w:rPr>
      </w:pPr>
      <w:r w:rsidRPr="00D62118">
        <w:rPr>
          <w:i/>
          <w:sz w:val="22"/>
          <w:lang w:val="en-US"/>
        </w:rPr>
        <w:t>Goals :</w:t>
      </w:r>
    </w:p>
    <w:p w:rsidR="00CF5410" w:rsidRPr="00D62118" w:rsidRDefault="00CF5410">
      <w:pPr>
        <w:rPr>
          <w:sz w:val="22"/>
          <w:lang w:val="en-US"/>
        </w:rPr>
      </w:pPr>
    </w:p>
    <w:p w:rsidR="00CF5410" w:rsidRPr="00D62118" w:rsidRDefault="00CF5410">
      <w:pPr>
        <w:rPr>
          <w:sz w:val="22"/>
          <w:lang w:val="en-US"/>
        </w:rPr>
      </w:pPr>
      <w:r w:rsidRPr="00D62118">
        <w:rPr>
          <w:sz w:val="22"/>
          <w:lang w:val="en-US"/>
        </w:rPr>
        <w:t xml:space="preserve">This class can be understood as an apprenticeship in the </w:t>
      </w:r>
      <w:r w:rsidRPr="00D62118">
        <w:rPr>
          <w:i/>
          <w:sz w:val="22"/>
          <w:lang w:val="en-US"/>
        </w:rPr>
        <w:t>savor</w:t>
      </w:r>
      <w:r w:rsidRPr="00D62118">
        <w:rPr>
          <w:sz w:val="22"/>
          <w:lang w:val="en-US"/>
        </w:rPr>
        <w:t xml:space="preserve"> of knowledge.  In the early modern age </w:t>
      </w:r>
      <w:r w:rsidRPr="00D62118">
        <w:rPr>
          <w:i/>
          <w:sz w:val="22"/>
          <w:lang w:val="en-US"/>
        </w:rPr>
        <w:t>savoir</w:t>
      </w:r>
      <w:r w:rsidRPr="00D62118">
        <w:rPr>
          <w:sz w:val="22"/>
          <w:lang w:val="en-US"/>
        </w:rPr>
        <w:t xml:space="preserve"> denoted both « knowledge » and « know-how ».  It included in its gamut of meanings </w:t>
      </w:r>
      <w:r w:rsidRPr="00D62118">
        <w:rPr>
          <w:i/>
          <w:sz w:val="22"/>
          <w:lang w:val="en-US"/>
        </w:rPr>
        <w:t>saveur</w:t>
      </w:r>
      <w:r w:rsidRPr="00D62118">
        <w:rPr>
          <w:sz w:val="22"/>
          <w:lang w:val="en-US"/>
        </w:rPr>
        <w:t xml:space="preserve">, that includes both </w:t>
      </w:r>
      <w:r>
        <w:rPr>
          <w:sz w:val="22"/>
          <w:lang w:val="en-US"/>
        </w:rPr>
        <w:t>a sense of things</w:t>
      </w:r>
      <w:r w:rsidRPr="00D62118">
        <w:rPr>
          <w:sz w:val="22"/>
          <w:lang w:val="en-US"/>
        </w:rPr>
        <w:t xml:space="preserve"> and the « nose » of he or she who « knows how to know».  To know meant knowing the cra</w:t>
      </w:r>
      <w:r>
        <w:rPr>
          <w:sz w:val="22"/>
          <w:lang w:val="en-US"/>
        </w:rPr>
        <w:t xml:space="preserve">ft of living well: about </w:t>
      </w:r>
      <w:r w:rsidRPr="00D62118">
        <w:rPr>
          <w:sz w:val="22"/>
          <w:lang w:val="en-US"/>
        </w:rPr>
        <w:t>smell</w:t>
      </w:r>
      <w:r>
        <w:rPr>
          <w:sz w:val="22"/>
          <w:lang w:val="en-US"/>
        </w:rPr>
        <w:t>ing, tasting, and</w:t>
      </w:r>
      <w:r w:rsidRPr="00D62118">
        <w:rPr>
          <w:sz w:val="22"/>
          <w:lang w:val="en-US"/>
        </w:rPr>
        <w:t xml:space="preserve"> blend the keenest and even fleeting and </w:t>
      </w:r>
      <w:r>
        <w:rPr>
          <w:sz w:val="22"/>
          <w:lang w:val="en-US"/>
        </w:rPr>
        <w:t xml:space="preserve">no less </w:t>
      </w:r>
      <w:r w:rsidRPr="00D62118">
        <w:rPr>
          <w:sz w:val="22"/>
          <w:lang w:val="en-US"/>
        </w:rPr>
        <w:t xml:space="preserve">vital sensory impressions with the labor of thinking and doing.    It meant, too, the sensual art of everyday life, a conscientious deployment of generous energy, in which are included </w:t>
      </w:r>
      <w:r w:rsidRPr="00D62118">
        <w:rPr>
          <w:i/>
          <w:sz w:val="22"/>
          <w:lang w:val="en-US"/>
        </w:rPr>
        <w:lastRenderedPageBreak/>
        <w:t>savor</w:t>
      </w:r>
      <w:r w:rsidRPr="00D62118">
        <w:rPr>
          <w:sz w:val="22"/>
          <w:lang w:val="en-US"/>
        </w:rPr>
        <w:t xml:space="preserve"> of sharing and comparing taste of the world and its languages.  In this realm wine and food play crucial roles.  It would be beyond the bounds of a semester to study at once oenology (the science of wine) and gastronomy.  Nonetheless we would like to dwell on the former</w:t>
      </w:r>
      <w:r>
        <w:rPr>
          <w:sz w:val="22"/>
          <w:lang w:val="en-US"/>
        </w:rPr>
        <w:t xml:space="preserve"> with an eye cast on the latter</w:t>
      </w:r>
      <w:r w:rsidRPr="00D62118">
        <w:rPr>
          <w:sz w:val="22"/>
          <w:lang w:val="en-US"/>
        </w:rPr>
        <w:t xml:space="preserve">:  for without wine, as the French goes, the day is without sunshine :  </w:t>
      </w:r>
      <w:r w:rsidR="00127135">
        <w:rPr>
          <w:i/>
          <w:sz w:val="22"/>
          <w:lang w:val="en-US"/>
        </w:rPr>
        <w:t xml:space="preserve"> journée sans vin,</w:t>
      </w:r>
      <w:r w:rsidRPr="00D62118">
        <w:rPr>
          <w:i/>
          <w:sz w:val="22"/>
          <w:lang w:val="en-US"/>
        </w:rPr>
        <w:t xml:space="preserve"> journée sans soleil</w:t>
      </w:r>
      <w:r w:rsidRPr="00D62118">
        <w:rPr>
          <w:sz w:val="22"/>
          <w:lang w:val="en-US"/>
        </w:rPr>
        <w:t xml:space="preserve">.   In view of the </w:t>
      </w:r>
      <w:r w:rsidRPr="00D62118">
        <w:rPr>
          <w:i/>
          <w:sz w:val="22"/>
          <w:lang w:val="en-US"/>
        </w:rPr>
        <w:t>savor</w:t>
      </w:r>
      <w:r w:rsidRPr="00D62118">
        <w:rPr>
          <w:sz w:val="22"/>
          <w:lang w:val="en-US"/>
        </w:rPr>
        <w:t xml:space="preserve"> of knowledge we take the goal of this class to be an apprenticeship in the art of knowledge in the best of all senses. </w:t>
      </w:r>
    </w:p>
    <w:p w:rsidR="00CF5410" w:rsidRPr="00D62118" w:rsidRDefault="00CF5410">
      <w:pPr>
        <w:rPr>
          <w:sz w:val="22"/>
          <w:lang w:val="en-US"/>
        </w:rPr>
      </w:pPr>
    </w:p>
    <w:p w:rsidR="00CF5410" w:rsidRPr="00D62118" w:rsidRDefault="00CF5410">
      <w:pPr>
        <w:rPr>
          <w:sz w:val="22"/>
          <w:lang w:val="en-US"/>
        </w:rPr>
      </w:pPr>
    </w:p>
    <w:p w:rsidR="00CF5410" w:rsidRPr="00D62118" w:rsidRDefault="00CF5410">
      <w:pPr>
        <w:rPr>
          <w:i/>
          <w:sz w:val="22"/>
          <w:lang w:val="en-US"/>
        </w:rPr>
      </w:pPr>
      <w:r w:rsidRPr="00D62118">
        <w:rPr>
          <w:i/>
          <w:sz w:val="22"/>
          <w:lang w:val="en-US"/>
        </w:rPr>
        <w:t>Means:</w:t>
      </w:r>
    </w:p>
    <w:p w:rsidR="00CF5410" w:rsidRPr="00D62118" w:rsidRDefault="00CF5410">
      <w:pPr>
        <w:rPr>
          <w:sz w:val="22"/>
          <w:lang w:val="en-US"/>
        </w:rPr>
      </w:pPr>
    </w:p>
    <w:p w:rsidR="00127135" w:rsidRDefault="00CF5410">
      <w:pPr>
        <w:rPr>
          <w:sz w:val="22"/>
          <w:lang w:val="en-US"/>
        </w:rPr>
      </w:pPr>
      <w:r>
        <w:rPr>
          <w:sz w:val="22"/>
          <w:lang w:val="en-US"/>
        </w:rPr>
        <w:t>Since</w:t>
      </w:r>
      <w:r w:rsidRPr="00D62118">
        <w:rPr>
          <w:sz w:val="22"/>
          <w:lang w:val="en-US"/>
        </w:rPr>
        <w:t xml:space="preserve"> wines are given to the </w:t>
      </w:r>
      <w:r w:rsidRPr="00D62118">
        <w:rPr>
          <w:i/>
          <w:sz w:val="22"/>
          <w:lang w:val="en-US"/>
        </w:rPr>
        <w:t>places</w:t>
      </w:r>
      <w:r w:rsidRPr="00D62118">
        <w:rPr>
          <w:sz w:val="22"/>
          <w:lang w:val="en-US"/>
        </w:rPr>
        <w:t xml:space="preserve"> in which grapes are grown we shall study the geographies of the wines of the world.  If we recall that Michel de Certeau designates a </w:t>
      </w:r>
      <w:r w:rsidRPr="00D62118">
        <w:rPr>
          <w:i/>
          <w:sz w:val="22"/>
          <w:lang w:val="en-US"/>
        </w:rPr>
        <w:t>space</w:t>
      </w:r>
      <w:r w:rsidRPr="00D62118">
        <w:rPr>
          <w:sz w:val="22"/>
          <w:lang w:val="en-US"/>
        </w:rPr>
        <w:t xml:space="preserve"> to be a « place practiced », that is, riddled with experience and language of those who live and move about it, we shall turn the « places » known by their wines into the « spaces » of experience of our own.  To do so we can begin by studying the wines and regions of France, the </w:t>
      </w:r>
      <w:r w:rsidRPr="00D62118">
        <w:rPr>
          <w:i/>
          <w:sz w:val="22"/>
          <w:lang w:val="en-US"/>
        </w:rPr>
        <w:t>locus classicus</w:t>
      </w:r>
      <w:r w:rsidRPr="00D62118">
        <w:rPr>
          <w:sz w:val="22"/>
          <w:lang w:val="en-US"/>
        </w:rPr>
        <w:t xml:space="preserve"> and the standard against which all the wines of the world are judged, according to its grapes and its places.  From there we shall move to Italy and Spain ; to the New World, to California and Latin America ; and then south and to the east, to South Africa and Australia.</w:t>
      </w:r>
    </w:p>
    <w:p w:rsidR="00127135" w:rsidRDefault="00127135">
      <w:pPr>
        <w:rPr>
          <w:sz w:val="22"/>
          <w:lang w:val="en-US"/>
        </w:rPr>
      </w:pPr>
    </w:p>
    <w:p w:rsidR="00CF5410" w:rsidRPr="00D62118" w:rsidRDefault="00C07A4C">
      <w:pPr>
        <w:rPr>
          <w:sz w:val="22"/>
          <w:lang w:val="en-US"/>
        </w:rPr>
      </w:pPr>
      <w:r>
        <w:rPr>
          <w:noProof/>
          <w:sz w:val="22"/>
          <w:lang w:val="en-US"/>
        </w:rPr>
        <w:drawing>
          <wp:inline distT="0" distB="0" distL="0" distR="0">
            <wp:extent cx="5486400" cy="3667125"/>
            <wp:effectExtent l="0" t="0" r="0" b="9525"/>
            <wp:docPr id="2" name="Picture 2" descr="DSC_0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07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3667125"/>
                    </a:xfrm>
                    <a:prstGeom prst="rect">
                      <a:avLst/>
                    </a:prstGeom>
                    <a:noFill/>
                    <a:ln>
                      <a:noFill/>
                    </a:ln>
                  </pic:spPr>
                </pic:pic>
              </a:graphicData>
            </a:graphic>
          </wp:inline>
        </w:drawing>
      </w:r>
      <w:r w:rsidR="00CF5410" w:rsidRPr="00D62118">
        <w:rPr>
          <w:sz w:val="22"/>
          <w:lang w:val="en-US"/>
        </w:rPr>
        <w:t xml:space="preserve">  </w:t>
      </w:r>
    </w:p>
    <w:p w:rsidR="00CF5410" w:rsidRDefault="00CF5410">
      <w:pPr>
        <w:rPr>
          <w:sz w:val="22"/>
          <w:lang w:val="en-US"/>
        </w:rPr>
      </w:pPr>
    </w:p>
    <w:p w:rsidR="0076148E" w:rsidRPr="00D62118" w:rsidRDefault="0076148E">
      <w:pPr>
        <w:rPr>
          <w:sz w:val="22"/>
          <w:lang w:val="en-US"/>
        </w:rPr>
      </w:pPr>
      <w:r>
        <w:rPr>
          <w:sz w:val="22"/>
          <w:lang w:val="en-US"/>
        </w:rPr>
        <w:tab/>
      </w:r>
      <w:r>
        <w:rPr>
          <w:sz w:val="22"/>
          <w:lang w:val="en-US"/>
        </w:rPr>
        <w:tab/>
      </w:r>
      <w:r>
        <w:rPr>
          <w:sz w:val="22"/>
          <w:lang w:val="en-US"/>
        </w:rPr>
        <w:tab/>
      </w:r>
      <w:r>
        <w:rPr>
          <w:sz w:val="22"/>
          <w:lang w:val="en-US"/>
        </w:rPr>
        <w:tab/>
        <w:t xml:space="preserve">Bandol (June </w:t>
      </w:r>
      <w:r w:rsidR="005D0BCD">
        <w:rPr>
          <w:sz w:val="22"/>
          <w:lang w:val="en-US"/>
        </w:rPr>
        <w:t xml:space="preserve">10, </w:t>
      </w:r>
      <w:r>
        <w:rPr>
          <w:sz w:val="22"/>
          <w:lang w:val="en-US"/>
        </w:rPr>
        <w:t>2012)</w:t>
      </w:r>
    </w:p>
    <w:p w:rsidR="00CF5410" w:rsidRPr="00D62118" w:rsidRDefault="00CF5410">
      <w:pPr>
        <w:rPr>
          <w:i/>
          <w:sz w:val="22"/>
          <w:lang w:val="en-US"/>
        </w:rPr>
      </w:pPr>
      <w:r w:rsidRPr="00D62118">
        <w:rPr>
          <w:i/>
          <w:sz w:val="22"/>
          <w:lang w:val="en-US"/>
        </w:rPr>
        <w:lastRenderedPageBreak/>
        <w:t>Method:</w:t>
      </w:r>
    </w:p>
    <w:p w:rsidR="00CF5410" w:rsidRPr="00D62118" w:rsidRDefault="00CF5410">
      <w:pPr>
        <w:rPr>
          <w:sz w:val="22"/>
          <w:lang w:val="en-US"/>
        </w:rPr>
      </w:pPr>
    </w:p>
    <w:p w:rsidR="00CF5410" w:rsidRPr="00D62118" w:rsidRDefault="00CF5410">
      <w:pPr>
        <w:rPr>
          <w:sz w:val="22"/>
          <w:lang w:val="en-US"/>
        </w:rPr>
      </w:pPr>
      <w:r w:rsidRPr="00D62118">
        <w:rPr>
          <w:sz w:val="22"/>
          <w:lang w:val="en-US"/>
        </w:rPr>
        <w:t xml:space="preserve">We would like to equilibrate reading and tasting.  By reading is meant the art of deciphering and seeing the world at once as a landscape and a palimpsest.  If the complexities of « reading » are compared to that of « reading » a map—do we find </w:t>
      </w:r>
      <w:r w:rsidR="00127135">
        <w:rPr>
          <w:sz w:val="22"/>
          <w:lang w:val="en-US"/>
        </w:rPr>
        <w:t>a narrative « thread » in a map</w:t>
      </w:r>
      <w:r w:rsidRPr="00D62118">
        <w:rPr>
          <w:sz w:val="22"/>
          <w:lang w:val="en-US"/>
        </w:rPr>
        <w:t>? do we « see » toponyms floating in a space of the shaded relief designating mountains and hillsides ?—then oenology cannot be detached from geography and its adjunct scienc</w:t>
      </w:r>
      <w:r>
        <w:rPr>
          <w:sz w:val="22"/>
          <w:lang w:val="en-US"/>
        </w:rPr>
        <w:t>e, topography.  Hence</w:t>
      </w:r>
      <w:r w:rsidRPr="00D62118">
        <w:rPr>
          <w:sz w:val="22"/>
          <w:lang w:val="en-US"/>
        </w:rPr>
        <w:t xml:space="preserve"> </w:t>
      </w:r>
      <w:r w:rsidRPr="00D62118">
        <w:rPr>
          <w:i/>
          <w:sz w:val="22"/>
          <w:lang w:val="en-US"/>
        </w:rPr>
        <w:t>oenography </w:t>
      </w:r>
      <w:r w:rsidRPr="00D62118">
        <w:rPr>
          <w:sz w:val="22"/>
          <w:lang w:val="en-US"/>
        </w:rPr>
        <w:t xml:space="preserve">:  we will read the world of wine on a cartographic palette.  The sensations of what we taste become the elements of the space we fashion from the places we study.  </w:t>
      </w:r>
    </w:p>
    <w:p w:rsidR="00CF5410" w:rsidRPr="00D62118" w:rsidRDefault="00CF5410">
      <w:pPr>
        <w:rPr>
          <w:sz w:val="22"/>
          <w:lang w:val="en-US"/>
        </w:rPr>
      </w:pPr>
    </w:p>
    <w:p w:rsidR="00CF5410" w:rsidRPr="00D62118" w:rsidRDefault="00CF5410">
      <w:pPr>
        <w:rPr>
          <w:sz w:val="22"/>
          <w:lang w:val="en-US"/>
        </w:rPr>
      </w:pPr>
      <w:r w:rsidRPr="00D62118">
        <w:rPr>
          <w:sz w:val="22"/>
          <w:lang w:val="en-US"/>
        </w:rPr>
        <w:t>I propose that we begin with France and its principal regions—the Bordelais, Burgundy, the Loire Valley, the Southwest (Languedoc), the Rhône Valle</w:t>
      </w:r>
      <w:r w:rsidR="00127135">
        <w:rPr>
          <w:sz w:val="22"/>
          <w:lang w:val="en-US"/>
        </w:rPr>
        <w:t>y</w:t>
      </w:r>
      <w:r w:rsidRPr="00D62118">
        <w:rPr>
          <w:sz w:val="22"/>
          <w:lang w:val="en-US"/>
        </w:rPr>
        <w:t>—before touching</w:t>
      </w:r>
      <w:r>
        <w:rPr>
          <w:sz w:val="22"/>
          <w:lang w:val="en-US"/>
        </w:rPr>
        <w:t>, time permitting,</w:t>
      </w:r>
      <w:r w:rsidRPr="00D62118">
        <w:rPr>
          <w:sz w:val="22"/>
          <w:lang w:val="en-US"/>
        </w:rPr>
        <w:t xml:space="preserve"> on some of the other regions in which great wines are made : Champagne (the Soissonnais), Franche-Comté, Alsace-Lorraine.  We will apportion our study of these areas according to the wines made—white, red, and rosé—and their grapes—that include </w:t>
      </w:r>
      <w:r>
        <w:rPr>
          <w:sz w:val="22"/>
          <w:lang w:val="en-US"/>
        </w:rPr>
        <w:t xml:space="preserve">melon de Bourgogne, sauvignon blanc, chenin blanc, </w:t>
      </w:r>
      <w:r w:rsidRPr="00D62118">
        <w:rPr>
          <w:sz w:val="22"/>
          <w:lang w:val="en-US"/>
        </w:rPr>
        <w:t xml:space="preserve">cabernet franc, chardonnay, fumé blanc, sémillon, cabernet sauvignon, </w:t>
      </w:r>
      <w:r>
        <w:rPr>
          <w:sz w:val="22"/>
          <w:lang w:val="en-US"/>
        </w:rPr>
        <w:t xml:space="preserve">merlot, petit verdot, viognier, </w:t>
      </w:r>
      <w:r w:rsidRPr="00D62118">
        <w:rPr>
          <w:sz w:val="22"/>
          <w:lang w:val="en-US"/>
        </w:rPr>
        <w:t xml:space="preserve">pinot noir, grenache, mourvèdre, carignan, cinsault, malbec, syrah, pinot gris, and others.  </w:t>
      </w:r>
    </w:p>
    <w:p w:rsidR="00CF5410" w:rsidRPr="00D62118" w:rsidRDefault="00CF5410">
      <w:pPr>
        <w:rPr>
          <w:sz w:val="22"/>
          <w:lang w:val="en-US"/>
        </w:rPr>
      </w:pPr>
    </w:p>
    <w:p w:rsidR="001A4F2F" w:rsidRDefault="00CF5410">
      <w:pPr>
        <w:rPr>
          <w:sz w:val="22"/>
          <w:lang w:val="en-US"/>
        </w:rPr>
      </w:pPr>
      <w:r w:rsidRPr="00D62118">
        <w:rPr>
          <w:sz w:val="22"/>
          <w:lang w:val="en-US"/>
        </w:rPr>
        <w:t>We shall then study the other regions along similar taxonomic itineraries</w:t>
      </w:r>
      <w:r w:rsidR="00127135">
        <w:rPr>
          <w:sz w:val="22"/>
          <w:lang w:val="en-US"/>
        </w:rPr>
        <w:t>, including Italy</w:t>
      </w:r>
      <w:r>
        <w:rPr>
          <w:sz w:val="22"/>
          <w:lang w:val="en-US"/>
        </w:rPr>
        <w:t xml:space="preserve"> (</w:t>
      </w:r>
      <w:r w:rsidRPr="00D62118">
        <w:rPr>
          <w:sz w:val="22"/>
          <w:lang w:val="en-US"/>
        </w:rPr>
        <w:t>sangiovese, primitivo, ne</w:t>
      </w:r>
      <w:r>
        <w:rPr>
          <w:sz w:val="22"/>
          <w:lang w:val="en-US"/>
        </w:rPr>
        <w:t>g</w:t>
      </w:r>
      <w:r w:rsidRPr="00D62118">
        <w:rPr>
          <w:sz w:val="22"/>
          <w:lang w:val="en-US"/>
        </w:rPr>
        <w:t>ro d’amaro, tempranillo</w:t>
      </w:r>
      <w:r>
        <w:rPr>
          <w:sz w:val="22"/>
          <w:lang w:val="en-US"/>
        </w:rPr>
        <w:t>…)</w:t>
      </w:r>
      <w:r w:rsidR="00127135">
        <w:rPr>
          <w:sz w:val="22"/>
          <w:lang w:val="en-US"/>
        </w:rPr>
        <w:t xml:space="preserve"> and Spain (jumilla, garnacha, tempranillo) in contrast with New World counterparts, be they in California, Oregon, Washington, the Finger Lakes, Long Island, North Carolina, Chile or Argentina</w:t>
      </w:r>
      <w:r w:rsidRPr="00D62118">
        <w:rPr>
          <w:sz w:val="22"/>
          <w:lang w:val="en-US"/>
        </w:rPr>
        <w:t xml:space="preserve">  One of the tasks we shall assign ourselves will be to read and taste, to take notes about what we sense, and to keep a diary and even, where it is wished, collect the labels of the wines we sample.</w:t>
      </w:r>
      <w:r>
        <w:rPr>
          <w:sz w:val="22"/>
          <w:lang w:val="en-US"/>
        </w:rPr>
        <w:t xml:space="preserve"> </w:t>
      </w:r>
    </w:p>
    <w:p w:rsidR="001A4F2F" w:rsidRDefault="001A4F2F">
      <w:pPr>
        <w:rPr>
          <w:sz w:val="22"/>
          <w:lang w:val="en-US"/>
        </w:rPr>
      </w:pPr>
    </w:p>
    <w:p w:rsidR="00CF5410" w:rsidRPr="00D62118" w:rsidRDefault="00CF5410">
      <w:pPr>
        <w:rPr>
          <w:sz w:val="22"/>
          <w:lang w:val="en-US"/>
        </w:rPr>
      </w:pPr>
    </w:p>
    <w:p w:rsidR="00CF5410" w:rsidRPr="00D62118" w:rsidRDefault="00CF5410">
      <w:pPr>
        <w:rPr>
          <w:sz w:val="22"/>
          <w:lang w:val="en-US"/>
        </w:rPr>
      </w:pPr>
    </w:p>
    <w:p w:rsidR="00CF5410" w:rsidRPr="00D62118" w:rsidRDefault="00CF5410">
      <w:pPr>
        <w:rPr>
          <w:i/>
          <w:sz w:val="22"/>
          <w:lang w:val="en-US"/>
        </w:rPr>
      </w:pPr>
      <w:r w:rsidRPr="00D62118">
        <w:rPr>
          <w:i/>
          <w:sz w:val="22"/>
          <w:lang w:val="en-US"/>
        </w:rPr>
        <w:t>Bibliography:</w:t>
      </w:r>
    </w:p>
    <w:p w:rsidR="00CF5410" w:rsidRPr="00D62118" w:rsidRDefault="00CF5410">
      <w:pPr>
        <w:rPr>
          <w:sz w:val="22"/>
          <w:lang w:val="en-US"/>
        </w:rPr>
      </w:pPr>
    </w:p>
    <w:p w:rsidR="00CF5410" w:rsidRPr="00D62118" w:rsidRDefault="00CF5410">
      <w:pPr>
        <w:pStyle w:val="BodyText"/>
        <w:rPr>
          <w:lang w:val="en-US"/>
        </w:rPr>
      </w:pPr>
      <w:r w:rsidRPr="00D62118">
        <w:rPr>
          <w:lang w:val="en-US"/>
        </w:rPr>
        <w:t xml:space="preserve">It is copious, but so also are the sensory impressions we gain as we taste.  We are purchasing some books for the Hicks House and then putting others on reserve for the sake of knowledge.  Among others, in a </w:t>
      </w:r>
      <w:r>
        <w:rPr>
          <w:lang w:val="en-US"/>
        </w:rPr>
        <w:t>plethora of titles</w:t>
      </w:r>
      <w:r w:rsidRPr="00D62118">
        <w:rPr>
          <w:lang w:val="en-US"/>
        </w:rPr>
        <w:t> </w:t>
      </w:r>
      <w:r>
        <w:rPr>
          <w:lang w:val="en-US"/>
        </w:rPr>
        <w:t xml:space="preserve"> (recommended: *)</w:t>
      </w:r>
      <w:r w:rsidRPr="00D62118">
        <w:rPr>
          <w:lang w:val="en-US"/>
        </w:rPr>
        <w:t>:</w:t>
      </w:r>
    </w:p>
    <w:p w:rsidR="00CF5410" w:rsidRPr="00D62118" w:rsidRDefault="00CF5410">
      <w:pPr>
        <w:rPr>
          <w:sz w:val="22"/>
          <w:lang w:val="en-US"/>
        </w:rPr>
      </w:pPr>
    </w:p>
    <w:p w:rsidR="00CF5410" w:rsidRDefault="00CF5410">
      <w:pPr>
        <w:ind w:left="720" w:hanging="720"/>
        <w:rPr>
          <w:sz w:val="22"/>
          <w:lang w:val="en-US"/>
        </w:rPr>
      </w:pPr>
      <w:r>
        <w:rPr>
          <w:sz w:val="22"/>
          <w:lang w:val="en-US"/>
        </w:rPr>
        <w:t xml:space="preserve">Asimov, Eric.  </w:t>
      </w:r>
      <w:r>
        <w:rPr>
          <w:i/>
          <w:sz w:val="22"/>
          <w:lang w:val="en-US"/>
        </w:rPr>
        <w:t xml:space="preserve">How to Love Wine: A Memoir and a Manifesto. </w:t>
      </w:r>
      <w:r>
        <w:rPr>
          <w:sz w:val="22"/>
          <w:lang w:val="en-US"/>
        </w:rPr>
        <w:t>(New York: Harper, 2012).</w:t>
      </w:r>
    </w:p>
    <w:p w:rsidR="001A4F2F" w:rsidRDefault="001A4F2F">
      <w:pPr>
        <w:ind w:left="720" w:hanging="720"/>
        <w:rPr>
          <w:sz w:val="22"/>
          <w:lang w:val="en-US"/>
        </w:rPr>
      </w:pPr>
      <w:r>
        <w:rPr>
          <w:sz w:val="22"/>
          <w:lang w:val="en-US"/>
        </w:rPr>
        <w:t xml:space="preserve">---.  “The Pour” and “Wine School”, Wednesdays, </w:t>
      </w:r>
      <w:r w:rsidRPr="001A4F2F">
        <w:rPr>
          <w:i/>
          <w:sz w:val="22"/>
          <w:lang w:val="en-US"/>
        </w:rPr>
        <w:t>New York Times</w:t>
      </w:r>
      <w:r>
        <w:rPr>
          <w:sz w:val="22"/>
          <w:lang w:val="en-US"/>
        </w:rPr>
        <w:t xml:space="preserve"> “Food” Section.*</w:t>
      </w:r>
    </w:p>
    <w:p w:rsidR="00CF5410" w:rsidRPr="0042744E" w:rsidRDefault="00CF5410">
      <w:pPr>
        <w:ind w:left="720" w:hanging="720"/>
        <w:rPr>
          <w:sz w:val="22"/>
          <w:lang w:val="en-US"/>
        </w:rPr>
      </w:pPr>
      <w:r>
        <w:rPr>
          <w:sz w:val="22"/>
          <w:lang w:val="en-US"/>
        </w:rPr>
        <w:t xml:space="preserve">Bonné, Jon.  </w:t>
      </w:r>
      <w:r w:rsidRPr="00A74811">
        <w:rPr>
          <w:i/>
          <w:sz w:val="22"/>
          <w:lang w:val="en-US"/>
        </w:rPr>
        <w:t>The New Califorinia Wine</w:t>
      </w:r>
      <w:r>
        <w:rPr>
          <w:sz w:val="22"/>
          <w:lang w:val="en-US"/>
        </w:rPr>
        <w:t xml:space="preserve"> (San Francisco: 10 Speed Press, 2013).</w:t>
      </w:r>
    </w:p>
    <w:p w:rsidR="00CF5410" w:rsidRPr="00751B1E" w:rsidRDefault="00CF5410">
      <w:pPr>
        <w:ind w:left="720" w:hanging="720"/>
        <w:rPr>
          <w:sz w:val="22"/>
          <w:lang w:val="en-US"/>
        </w:rPr>
      </w:pPr>
      <w:r>
        <w:rPr>
          <w:sz w:val="22"/>
          <w:lang w:val="en-US"/>
        </w:rPr>
        <w:t xml:space="preserve">Dumay, Raymond.  </w:t>
      </w:r>
      <w:r>
        <w:rPr>
          <w:i/>
          <w:sz w:val="22"/>
          <w:lang w:val="en-US"/>
        </w:rPr>
        <w:t>La Mort du vin</w:t>
      </w:r>
      <w:r>
        <w:rPr>
          <w:sz w:val="22"/>
          <w:lang w:val="en-US"/>
        </w:rPr>
        <w:t xml:space="preserve"> (Paris: La Table Ronde, 1976).  </w:t>
      </w:r>
    </w:p>
    <w:p w:rsidR="00CF5410" w:rsidRDefault="00CF5410">
      <w:pPr>
        <w:ind w:left="720" w:hanging="720"/>
        <w:rPr>
          <w:sz w:val="22"/>
          <w:lang w:val="en-US"/>
        </w:rPr>
      </w:pPr>
      <w:r w:rsidRPr="00D62118">
        <w:rPr>
          <w:sz w:val="22"/>
          <w:lang w:val="en-US"/>
        </w:rPr>
        <w:t xml:space="preserve">Ferguson, Priscilla Parkhurst.  </w:t>
      </w:r>
      <w:r w:rsidRPr="00D62118">
        <w:rPr>
          <w:i/>
          <w:sz w:val="22"/>
          <w:lang w:val="en-US"/>
        </w:rPr>
        <w:t>Accounting for Taste :  The Triumph of French Cuisine</w:t>
      </w:r>
      <w:r w:rsidRPr="00D62118">
        <w:rPr>
          <w:sz w:val="22"/>
          <w:lang w:val="en-US"/>
        </w:rPr>
        <w:t xml:space="preserve"> (Chicago : University of Chicago Press, 2005)</w:t>
      </w:r>
      <w:r>
        <w:rPr>
          <w:sz w:val="22"/>
          <w:lang w:val="en-US"/>
        </w:rPr>
        <w:t>.</w:t>
      </w:r>
    </w:p>
    <w:p w:rsidR="00CF5410" w:rsidRPr="0091522A" w:rsidRDefault="00CF5410">
      <w:pPr>
        <w:ind w:left="720" w:hanging="720"/>
        <w:rPr>
          <w:sz w:val="22"/>
          <w:lang w:val="en-US"/>
        </w:rPr>
      </w:pPr>
      <w:r>
        <w:rPr>
          <w:sz w:val="22"/>
          <w:lang w:val="en-US"/>
        </w:rPr>
        <w:t xml:space="preserve">Gohorry, Jacques.  </w:t>
      </w:r>
      <w:r>
        <w:rPr>
          <w:i/>
          <w:sz w:val="22"/>
          <w:lang w:val="en-US"/>
        </w:rPr>
        <w:t>Devis sur la vigne: vin et vendanges…</w:t>
      </w:r>
      <w:r>
        <w:rPr>
          <w:sz w:val="22"/>
          <w:lang w:val="en-US"/>
        </w:rPr>
        <w:t xml:space="preserve"> (Paris: Vincent Sertenas, 1549).</w:t>
      </w:r>
    </w:p>
    <w:p w:rsidR="00CF5410" w:rsidRDefault="00CF5410">
      <w:pPr>
        <w:ind w:left="720" w:hanging="720"/>
        <w:rPr>
          <w:sz w:val="22"/>
          <w:lang w:val="en-US"/>
        </w:rPr>
      </w:pPr>
      <w:r>
        <w:rPr>
          <w:sz w:val="22"/>
          <w:lang w:val="en-US"/>
        </w:rPr>
        <w:t xml:space="preserve">Goldberg, Howard.  </w:t>
      </w:r>
      <w:r w:rsidRPr="0042744E">
        <w:rPr>
          <w:i/>
          <w:sz w:val="22"/>
          <w:lang w:val="en-US"/>
        </w:rPr>
        <w:t>New York Times Book of Wine</w:t>
      </w:r>
      <w:r>
        <w:rPr>
          <w:sz w:val="22"/>
          <w:lang w:val="en-US"/>
        </w:rPr>
        <w:t xml:space="preserve"> (New York: Sterling &amp; Epicure, 2012).</w:t>
      </w:r>
    </w:p>
    <w:p w:rsidR="00CF5410" w:rsidRPr="00D62118" w:rsidRDefault="00CF5410">
      <w:pPr>
        <w:ind w:left="720" w:hanging="720"/>
        <w:rPr>
          <w:sz w:val="22"/>
          <w:lang w:val="en-US"/>
        </w:rPr>
      </w:pPr>
      <w:r w:rsidRPr="00D62118">
        <w:rPr>
          <w:sz w:val="22"/>
          <w:lang w:val="en-US"/>
        </w:rPr>
        <w:lastRenderedPageBreak/>
        <w:t xml:space="preserve">Johnson, Hugh.  </w:t>
      </w:r>
      <w:r w:rsidRPr="00D62118">
        <w:rPr>
          <w:i/>
          <w:sz w:val="22"/>
          <w:lang w:val="en-US"/>
        </w:rPr>
        <w:t>The Story of Wine</w:t>
      </w:r>
      <w:r w:rsidRPr="00D62118">
        <w:rPr>
          <w:sz w:val="22"/>
          <w:lang w:val="en-US"/>
        </w:rPr>
        <w:t xml:space="preserve"> (London : Mitchell Beazley, 2004)</w:t>
      </w:r>
      <w:r w:rsidR="001A4F2F">
        <w:rPr>
          <w:sz w:val="22"/>
          <w:lang w:val="en-US"/>
        </w:rPr>
        <w:t>.</w:t>
      </w:r>
    </w:p>
    <w:p w:rsidR="00CF5410" w:rsidRPr="00D62118" w:rsidRDefault="00CF5410">
      <w:pPr>
        <w:ind w:left="720" w:hanging="720"/>
        <w:rPr>
          <w:sz w:val="22"/>
          <w:lang w:val="en-US"/>
        </w:rPr>
      </w:pPr>
      <w:r w:rsidRPr="00D62118">
        <w:rPr>
          <w:sz w:val="22"/>
          <w:lang w:val="en-US"/>
        </w:rPr>
        <w:t xml:space="preserve">---.  </w:t>
      </w:r>
      <w:r w:rsidRPr="007A4C4D">
        <w:rPr>
          <w:i/>
          <w:sz w:val="22"/>
          <w:lang w:val="en-US"/>
        </w:rPr>
        <w:t>The Wine Atlas of France</w:t>
      </w:r>
      <w:r w:rsidRPr="00D62118">
        <w:rPr>
          <w:sz w:val="22"/>
          <w:lang w:val="en-US"/>
        </w:rPr>
        <w:t xml:space="preserve"> (New York : Simon &amp; Schuster, 1987)</w:t>
      </w:r>
      <w:r>
        <w:rPr>
          <w:sz w:val="22"/>
          <w:lang w:val="en-US"/>
        </w:rPr>
        <w:t>.</w:t>
      </w:r>
    </w:p>
    <w:p w:rsidR="00CF5410" w:rsidRPr="00D62118" w:rsidRDefault="00CF5410">
      <w:pPr>
        <w:ind w:left="720" w:hanging="720"/>
        <w:rPr>
          <w:sz w:val="22"/>
          <w:lang w:val="en-US"/>
        </w:rPr>
      </w:pPr>
      <w:r w:rsidRPr="00D62118">
        <w:rPr>
          <w:sz w:val="22"/>
          <w:lang w:val="en-US"/>
        </w:rPr>
        <w:t xml:space="preserve">---.  </w:t>
      </w:r>
      <w:r w:rsidRPr="00D62118">
        <w:rPr>
          <w:i/>
          <w:sz w:val="22"/>
          <w:lang w:val="en-US"/>
        </w:rPr>
        <w:t xml:space="preserve">How to Enjoy Wine </w:t>
      </w:r>
      <w:r w:rsidRPr="00D62118">
        <w:rPr>
          <w:sz w:val="22"/>
          <w:lang w:val="en-US"/>
        </w:rPr>
        <w:t>(New York : Simon &amp; Schuster, 1985)</w:t>
      </w:r>
      <w:r>
        <w:rPr>
          <w:sz w:val="22"/>
          <w:lang w:val="en-US"/>
        </w:rPr>
        <w:t>.</w:t>
      </w:r>
    </w:p>
    <w:p w:rsidR="00CF5410" w:rsidRPr="00D62118" w:rsidRDefault="00CF5410">
      <w:pPr>
        <w:ind w:left="720" w:hanging="720"/>
        <w:rPr>
          <w:sz w:val="22"/>
          <w:lang w:val="en-US"/>
        </w:rPr>
      </w:pPr>
      <w:r w:rsidRPr="00D62118">
        <w:rPr>
          <w:sz w:val="22"/>
          <w:lang w:val="en-US"/>
        </w:rPr>
        <w:t xml:space="preserve">---.  </w:t>
      </w:r>
      <w:r w:rsidRPr="00D62118">
        <w:rPr>
          <w:i/>
          <w:sz w:val="22"/>
          <w:lang w:val="en-US"/>
        </w:rPr>
        <w:t>Vintage :  The Story of Wine</w:t>
      </w:r>
      <w:r w:rsidRPr="00D62118">
        <w:rPr>
          <w:sz w:val="22"/>
          <w:lang w:val="en-US"/>
        </w:rPr>
        <w:t xml:space="preserve"> (New York : Simon &amp; Schuster, 1989)</w:t>
      </w:r>
      <w:r>
        <w:rPr>
          <w:sz w:val="22"/>
          <w:lang w:val="en-US"/>
        </w:rPr>
        <w:t>.</w:t>
      </w:r>
    </w:p>
    <w:p w:rsidR="00CF5410" w:rsidRPr="00D62118" w:rsidRDefault="00CF5410">
      <w:pPr>
        <w:ind w:left="720" w:hanging="720"/>
        <w:rPr>
          <w:sz w:val="22"/>
          <w:lang w:val="en-US"/>
        </w:rPr>
      </w:pPr>
      <w:r w:rsidRPr="00D62118">
        <w:rPr>
          <w:sz w:val="22"/>
          <w:lang w:val="en-US"/>
        </w:rPr>
        <w:t xml:space="preserve">Johnson, Hugh and Jancis Robinson.  </w:t>
      </w:r>
      <w:r w:rsidRPr="00D62118">
        <w:rPr>
          <w:i/>
          <w:sz w:val="22"/>
          <w:lang w:val="en-US"/>
        </w:rPr>
        <w:t>The World Atlas of Wine</w:t>
      </w:r>
      <w:r w:rsidRPr="00D62118">
        <w:rPr>
          <w:sz w:val="22"/>
          <w:lang w:val="en-US"/>
        </w:rPr>
        <w:t xml:space="preserve"> (New York : Mitchell Beazley, 2001). </w:t>
      </w:r>
    </w:p>
    <w:p w:rsidR="00CF5410" w:rsidRPr="00D62118" w:rsidRDefault="00CF5410">
      <w:pPr>
        <w:ind w:left="720" w:hanging="720"/>
        <w:rPr>
          <w:sz w:val="22"/>
          <w:lang w:val="en-US"/>
        </w:rPr>
      </w:pPr>
      <w:r w:rsidRPr="00D62118">
        <w:rPr>
          <w:sz w:val="22"/>
          <w:lang w:val="en-US"/>
        </w:rPr>
        <w:t xml:space="preserve">Lichine, Alexis.  </w:t>
      </w:r>
      <w:r w:rsidRPr="00D62118">
        <w:rPr>
          <w:i/>
          <w:sz w:val="22"/>
          <w:lang w:val="en-US"/>
        </w:rPr>
        <w:t>The Wines of France</w:t>
      </w:r>
      <w:r w:rsidRPr="00D62118">
        <w:rPr>
          <w:sz w:val="22"/>
          <w:lang w:val="en-US"/>
        </w:rPr>
        <w:t xml:space="preserve"> (New York : Alfred A. Knopf, 1962)</w:t>
      </w:r>
    </w:p>
    <w:p w:rsidR="00CF5410" w:rsidRDefault="00CF5410">
      <w:pPr>
        <w:ind w:left="720" w:hanging="720"/>
        <w:rPr>
          <w:sz w:val="22"/>
          <w:lang w:val="en-US"/>
        </w:rPr>
      </w:pPr>
      <w:r w:rsidRPr="00D62118">
        <w:rPr>
          <w:sz w:val="22"/>
          <w:lang w:val="en-US"/>
        </w:rPr>
        <w:t xml:space="preserve">Lynch, Kermit. </w:t>
      </w:r>
      <w:r>
        <w:rPr>
          <w:i/>
          <w:sz w:val="22"/>
          <w:lang w:val="en-US"/>
        </w:rPr>
        <w:t>Adventures on the Wine R</w:t>
      </w:r>
      <w:r w:rsidRPr="00D62118">
        <w:rPr>
          <w:i/>
          <w:sz w:val="22"/>
          <w:lang w:val="en-US"/>
        </w:rPr>
        <w:t xml:space="preserve">oute </w:t>
      </w:r>
      <w:r w:rsidRPr="00D62118">
        <w:rPr>
          <w:sz w:val="22"/>
          <w:lang w:val="en-US"/>
        </w:rPr>
        <w:t>(New York : Farrar, Straus and Giroux, 1988)</w:t>
      </w:r>
      <w:r>
        <w:rPr>
          <w:sz w:val="22"/>
          <w:lang w:val="en-US"/>
        </w:rPr>
        <w:t>.*</w:t>
      </w:r>
    </w:p>
    <w:p w:rsidR="00CF5410" w:rsidRPr="00D43214" w:rsidRDefault="00CF5410">
      <w:pPr>
        <w:ind w:left="720" w:hanging="720"/>
        <w:rPr>
          <w:sz w:val="22"/>
          <w:lang w:val="en-US"/>
        </w:rPr>
      </w:pPr>
      <w:r>
        <w:rPr>
          <w:sz w:val="22"/>
          <w:lang w:val="en-US"/>
        </w:rPr>
        <w:t xml:space="preserve">Martin, Neal. </w:t>
      </w:r>
      <w:r>
        <w:rPr>
          <w:i/>
          <w:sz w:val="22"/>
          <w:lang w:val="en-US"/>
        </w:rPr>
        <w:t>Pomerol</w:t>
      </w:r>
      <w:r>
        <w:rPr>
          <w:sz w:val="22"/>
          <w:lang w:val="en-US"/>
        </w:rPr>
        <w:t>.  &lt;pomerolbook.com&gt;.  [600 pp. @$80]</w:t>
      </w:r>
    </w:p>
    <w:p w:rsidR="00CF5410" w:rsidRPr="00D62118" w:rsidRDefault="00CF5410">
      <w:pPr>
        <w:ind w:left="720" w:hanging="720"/>
        <w:rPr>
          <w:sz w:val="22"/>
          <w:lang w:val="en-US"/>
        </w:rPr>
      </w:pPr>
      <w:r w:rsidRPr="00D62118">
        <w:rPr>
          <w:i/>
          <w:sz w:val="22"/>
          <w:lang w:val="en-US"/>
        </w:rPr>
        <w:t>The Oxford Concise Wine Companion</w:t>
      </w:r>
      <w:r w:rsidRPr="00D62118">
        <w:rPr>
          <w:sz w:val="22"/>
          <w:lang w:val="en-US"/>
        </w:rPr>
        <w:t xml:space="preserve"> (Oxford : Oxford University Press, 2005)</w:t>
      </w:r>
      <w:r>
        <w:rPr>
          <w:sz w:val="22"/>
          <w:lang w:val="en-US"/>
        </w:rPr>
        <w:t>.*</w:t>
      </w:r>
    </w:p>
    <w:p w:rsidR="00CF5410" w:rsidRDefault="00CF5410">
      <w:pPr>
        <w:ind w:left="720" w:hanging="720"/>
        <w:rPr>
          <w:sz w:val="22"/>
          <w:lang w:val="en-US"/>
        </w:rPr>
      </w:pPr>
      <w:r w:rsidRPr="00D62118">
        <w:rPr>
          <w:sz w:val="22"/>
          <w:lang w:val="en-US"/>
        </w:rPr>
        <w:t xml:space="preserve">Read, Jan.  </w:t>
      </w:r>
      <w:r w:rsidRPr="00D62118">
        <w:rPr>
          <w:i/>
          <w:sz w:val="22"/>
          <w:lang w:val="en-US"/>
        </w:rPr>
        <w:t>The Wine &amp; Food of Spain</w:t>
      </w:r>
      <w:r w:rsidRPr="00D62118">
        <w:rPr>
          <w:sz w:val="22"/>
          <w:lang w:val="en-US"/>
        </w:rPr>
        <w:t xml:space="preserve"> (Boston : Little &amp; Brown, 1987)</w:t>
      </w:r>
      <w:r>
        <w:rPr>
          <w:sz w:val="22"/>
          <w:lang w:val="en-US"/>
        </w:rPr>
        <w:t>.</w:t>
      </w:r>
    </w:p>
    <w:p w:rsidR="00CF5410" w:rsidRDefault="00CF5410">
      <w:pPr>
        <w:ind w:left="720" w:hanging="720"/>
        <w:rPr>
          <w:sz w:val="22"/>
          <w:lang w:val="en-US"/>
        </w:rPr>
      </w:pPr>
      <w:r>
        <w:rPr>
          <w:sz w:val="22"/>
          <w:lang w:val="en-US"/>
        </w:rPr>
        <w:t xml:space="preserve">Rowley, Anthony and Jean-Claude Ribaut, </w:t>
      </w:r>
      <w:r>
        <w:rPr>
          <w:i/>
          <w:sz w:val="22"/>
          <w:lang w:val="en-US"/>
        </w:rPr>
        <w:t>Le Vin: Une histoire de goût</w:t>
      </w:r>
      <w:r>
        <w:rPr>
          <w:sz w:val="22"/>
          <w:lang w:val="en-US"/>
        </w:rPr>
        <w:t xml:space="preserve"> (Paris: Gallimard, 2003.</w:t>
      </w:r>
    </w:p>
    <w:p w:rsidR="00CF5410" w:rsidRPr="00266629" w:rsidRDefault="00CF5410">
      <w:pPr>
        <w:ind w:left="720" w:hanging="720"/>
        <w:rPr>
          <w:sz w:val="22"/>
          <w:lang w:val="en-US"/>
        </w:rPr>
      </w:pPr>
      <w:r>
        <w:rPr>
          <w:sz w:val="22"/>
          <w:lang w:val="en-US"/>
        </w:rPr>
        <w:t xml:space="preserve">Serres, Olivier de.  </w:t>
      </w:r>
      <w:r>
        <w:rPr>
          <w:i/>
          <w:sz w:val="22"/>
          <w:lang w:val="en-US"/>
        </w:rPr>
        <w:t xml:space="preserve">Le Théâtre d’agriculture et le mesnage des champs </w:t>
      </w:r>
      <w:r>
        <w:rPr>
          <w:sz w:val="22"/>
          <w:lang w:val="en-US"/>
        </w:rPr>
        <w:t>(Paris: Jamet Mettayer, 1600) [see Houghton copies]</w:t>
      </w:r>
    </w:p>
    <w:p w:rsidR="00CF5410" w:rsidRPr="00D62118" w:rsidRDefault="00CF5410">
      <w:pPr>
        <w:ind w:left="720" w:hanging="720"/>
        <w:rPr>
          <w:sz w:val="22"/>
          <w:lang w:val="en-US"/>
        </w:rPr>
      </w:pPr>
      <w:r w:rsidRPr="00D62118">
        <w:rPr>
          <w:sz w:val="22"/>
          <w:lang w:val="en-US"/>
        </w:rPr>
        <w:t xml:space="preserve">Shand, P. Morton.  </w:t>
      </w:r>
      <w:r w:rsidRPr="00D62118">
        <w:rPr>
          <w:i/>
          <w:sz w:val="22"/>
          <w:lang w:val="en-US"/>
        </w:rPr>
        <w:t>A Book of French Wines</w:t>
      </w:r>
      <w:r w:rsidRPr="00D62118">
        <w:rPr>
          <w:sz w:val="22"/>
          <w:lang w:val="en-US"/>
        </w:rPr>
        <w:t xml:space="preserve"> (New York : Alfred A. Knopf, 1928)</w:t>
      </w:r>
    </w:p>
    <w:p w:rsidR="00CF5410" w:rsidRPr="00D62118" w:rsidRDefault="00CF5410">
      <w:pPr>
        <w:ind w:left="720" w:hanging="720"/>
        <w:rPr>
          <w:sz w:val="22"/>
          <w:lang w:val="en-US"/>
        </w:rPr>
      </w:pPr>
      <w:r w:rsidRPr="00D62118">
        <w:rPr>
          <w:sz w:val="22"/>
          <w:lang w:val="en-US"/>
        </w:rPr>
        <w:t xml:space="preserve">---.  </w:t>
      </w:r>
      <w:r w:rsidRPr="00D62118">
        <w:rPr>
          <w:i/>
          <w:sz w:val="22"/>
          <w:lang w:val="en-US"/>
        </w:rPr>
        <w:t xml:space="preserve">Wine Today, and Wine Tomorrow </w:t>
      </w:r>
      <w:r w:rsidRPr="00D62118">
        <w:rPr>
          <w:sz w:val="22"/>
          <w:lang w:val="en-US"/>
        </w:rPr>
        <w:t>(New York : Dutton, 1927)</w:t>
      </w:r>
      <w:r>
        <w:rPr>
          <w:sz w:val="22"/>
          <w:lang w:val="en-US"/>
        </w:rPr>
        <w:t>.</w:t>
      </w:r>
    </w:p>
    <w:p w:rsidR="00CF5410" w:rsidRPr="00D62118" w:rsidRDefault="00CF5410">
      <w:pPr>
        <w:ind w:left="720" w:hanging="720"/>
        <w:rPr>
          <w:sz w:val="22"/>
          <w:lang w:val="en-US"/>
        </w:rPr>
      </w:pPr>
      <w:r w:rsidRPr="00D62118">
        <w:rPr>
          <w:sz w:val="22"/>
          <w:lang w:val="en-US"/>
        </w:rPr>
        <w:t xml:space="preserve">---.  </w:t>
      </w:r>
      <w:r w:rsidRPr="00D62118">
        <w:rPr>
          <w:i/>
          <w:sz w:val="22"/>
          <w:lang w:val="en-US"/>
        </w:rPr>
        <w:t>A Book of Food</w:t>
      </w:r>
      <w:r w:rsidRPr="00D62118">
        <w:rPr>
          <w:sz w:val="22"/>
          <w:lang w:val="en-US"/>
        </w:rPr>
        <w:t xml:space="preserve"> (New York : Alfred A. Knopf, 1927)</w:t>
      </w:r>
      <w:r>
        <w:rPr>
          <w:sz w:val="22"/>
          <w:lang w:val="en-US"/>
        </w:rPr>
        <w:t>.</w:t>
      </w:r>
    </w:p>
    <w:p w:rsidR="00CF5410" w:rsidRDefault="00CF5410">
      <w:pPr>
        <w:ind w:left="720" w:hanging="720"/>
        <w:rPr>
          <w:sz w:val="22"/>
          <w:lang w:val="en-US"/>
        </w:rPr>
      </w:pPr>
      <w:r w:rsidRPr="00D62118">
        <w:rPr>
          <w:sz w:val="22"/>
          <w:lang w:val="en-US"/>
        </w:rPr>
        <w:t xml:space="preserve">Shuster, Michael.  </w:t>
      </w:r>
      <w:r w:rsidRPr="00D62118">
        <w:rPr>
          <w:i/>
          <w:sz w:val="22"/>
          <w:lang w:val="en-US"/>
        </w:rPr>
        <w:t>Essential Winetasting</w:t>
      </w:r>
      <w:r w:rsidRPr="00D62118">
        <w:rPr>
          <w:sz w:val="22"/>
          <w:lang w:val="en-US"/>
        </w:rPr>
        <w:t xml:space="preserve"> (London : Mitchell Beazley, 2000)</w:t>
      </w:r>
      <w:r>
        <w:rPr>
          <w:sz w:val="22"/>
          <w:lang w:val="en-US"/>
        </w:rPr>
        <w:t>.</w:t>
      </w:r>
    </w:p>
    <w:p w:rsidR="00CF5410" w:rsidRDefault="00CF5410">
      <w:pPr>
        <w:ind w:left="720" w:hanging="720"/>
        <w:rPr>
          <w:sz w:val="22"/>
          <w:lang w:val="en-US"/>
        </w:rPr>
      </w:pPr>
      <w:r>
        <w:rPr>
          <w:sz w:val="22"/>
          <w:lang w:val="en-US"/>
        </w:rPr>
        <w:t xml:space="preserve">Smith, Clark.  </w:t>
      </w:r>
      <w:r w:rsidRPr="00A74811">
        <w:rPr>
          <w:i/>
          <w:sz w:val="22"/>
          <w:lang w:val="en-US"/>
        </w:rPr>
        <w:t>Postmodern Winemaking</w:t>
      </w:r>
      <w:r>
        <w:rPr>
          <w:sz w:val="22"/>
          <w:lang w:val="en-US"/>
        </w:rPr>
        <w:t xml:space="preserve"> (Berkeley: U of California P, 2013).</w:t>
      </w:r>
    </w:p>
    <w:p w:rsidR="005D0BCD" w:rsidRDefault="00CF5410">
      <w:pPr>
        <w:ind w:left="720" w:hanging="720"/>
        <w:rPr>
          <w:sz w:val="22"/>
          <w:lang w:val="en-US"/>
        </w:rPr>
      </w:pPr>
      <w:r>
        <w:rPr>
          <w:sz w:val="22"/>
          <w:lang w:val="en-US"/>
        </w:rPr>
        <w:t xml:space="preserve">Walker, Ray.  </w:t>
      </w:r>
      <w:r w:rsidRPr="00A74811">
        <w:rPr>
          <w:i/>
          <w:sz w:val="22"/>
          <w:lang w:val="en-US"/>
        </w:rPr>
        <w:t>The Road to Burgundy:  The Unlikely Story of an American Making Wine and a New Life in France</w:t>
      </w:r>
      <w:r>
        <w:rPr>
          <w:sz w:val="22"/>
          <w:lang w:val="en-US"/>
        </w:rPr>
        <w:t xml:space="preserve"> ([New York]: Gotham Books, 2013).</w:t>
      </w:r>
    </w:p>
    <w:p w:rsidR="001A4F2F" w:rsidRDefault="001A4F2F">
      <w:pPr>
        <w:ind w:left="720" w:hanging="720"/>
        <w:rPr>
          <w:sz w:val="22"/>
          <w:lang w:val="en-US"/>
        </w:rPr>
      </w:pPr>
    </w:p>
    <w:p w:rsidR="001A4F2F" w:rsidRDefault="001A4F2F">
      <w:pPr>
        <w:ind w:left="720" w:hanging="720"/>
        <w:rPr>
          <w:sz w:val="22"/>
          <w:lang w:val="en-US"/>
        </w:rPr>
      </w:pPr>
      <w:r w:rsidRPr="00D62118">
        <w:rPr>
          <w:sz w:val="22"/>
          <w:lang w:val="en-US"/>
        </w:rPr>
        <w:t>*highly recommended</w:t>
      </w:r>
    </w:p>
    <w:p w:rsidR="005D0BCD" w:rsidRDefault="005D0BCD">
      <w:pPr>
        <w:ind w:left="720" w:hanging="720"/>
        <w:rPr>
          <w:sz w:val="22"/>
          <w:lang w:val="en-US"/>
        </w:rPr>
      </w:pPr>
    </w:p>
    <w:p w:rsidR="00CF5410" w:rsidRPr="00D62118" w:rsidRDefault="00CF5410">
      <w:pPr>
        <w:pStyle w:val="Heading1"/>
        <w:rPr>
          <w:lang w:val="en-US"/>
        </w:rPr>
      </w:pPr>
      <w:r w:rsidRPr="00D62118">
        <w:rPr>
          <w:lang w:val="en-US"/>
        </w:rPr>
        <w:t>Time and place</w:t>
      </w:r>
    </w:p>
    <w:p w:rsidR="00CF5410" w:rsidRPr="00D62118" w:rsidRDefault="00CF5410">
      <w:pPr>
        <w:ind w:left="720" w:hanging="720"/>
        <w:rPr>
          <w:sz w:val="22"/>
          <w:lang w:val="en-US"/>
        </w:rPr>
      </w:pPr>
    </w:p>
    <w:p w:rsidR="00CF5410" w:rsidRPr="00D62118" w:rsidRDefault="00CF5410">
      <w:pPr>
        <w:rPr>
          <w:sz w:val="22"/>
          <w:lang w:val="en-US"/>
        </w:rPr>
      </w:pPr>
      <w:r w:rsidRPr="00D62118">
        <w:rPr>
          <w:sz w:val="22"/>
          <w:lang w:val="en-US"/>
        </w:rPr>
        <w:t xml:space="preserve">We would like to meet on </w:t>
      </w:r>
      <w:r>
        <w:rPr>
          <w:sz w:val="22"/>
          <w:lang w:val="en-US"/>
        </w:rPr>
        <w:t xml:space="preserve">alternating </w:t>
      </w:r>
      <w:r w:rsidR="00127135">
        <w:rPr>
          <w:sz w:val="22"/>
          <w:lang w:val="en-US"/>
        </w:rPr>
        <w:t>Tuesday</w:t>
      </w:r>
      <w:r>
        <w:rPr>
          <w:sz w:val="22"/>
          <w:lang w:val="en-US"/>
        </w:rPr>
        <w:t xml:space="preserve"> evenings at 7</w:t>
      </w:r>
      <w:r w:rsidRPr="00D62118">
        <w:rPr>
          <w:sz w:val="22"/>
          <w:lang w:val="en-US"/>
        </w:rPr>
        <w:t>:</w:t>
      </w:r>
      <w:r>
        <w:rPr>
          <w:sz w:val="22"/>
          <w:lang w:val="en-US"/>
        </w:rPr>
        <w:t>15-7:30</w:t>
      </w:r>
      <w:r w:rsidRPr="00D62118">
        <w:rPr>
          <w:sz w:val="22"/>
          <w:lang w:val="en-US"/>
        </w:rPr>
        <w:t xml:space="preserve"> p.m. in the Junior Common Room.  We shall bring our texts, glasses, bottl</w:t>
      </w:r>
      <w:r>
        <w:rPr>
          <w:sz w:val="22"/>
          <w:lang w:val="en-US"/>
        </w:rPr>
        <w:t>es, notebooks, and the dictiona</w:t>
      </w:r>
      <w:r w:rsidRPr="00D62118">
        <w:rPr>
          <w:sz w:val="22"/>
          <w:lang w:val="en-US"/>
        </w:rPr>
        <w:t>ries of our wit.  Through taste we shall turn the place into a space of our own.  We will need ample supplies of water and bread to clear our palettes between tastings.</w:t>
      </w:r>
    </w:p>
    <w:p w:rsidR="00CF5410" w:rsidRPr="00D62118" w:rsidRDefault="00CF5410">
      <w:pPr>
        <w:rPr>
          <w:sz w:val="22"/>
          <w:lang w:val="en-US"/>
        </w:rPr>
      </w:pPr>
    </w:p>
    <w:p w:rsidR="00CF5410" w:rsidRPr="00D62118" w:rsidRDefault="00CF5410">
      <w:pPr>
        <w:rPr>
          <w:i/>
          <w:sz w:val="22"/>
          <w:lang w:val="en-US"/>
        </w:rPr>
      </w:pPr>
      <w:r w:rsidRPr="00D62118">
        <w:rPr>
          <w:i/>
          <w:sz w:val="22"/>
          <w:lang w:val="en-US"/>
        </w:rPr>
        <w:t>Requirements</w:t>
      </w:r>
    </w:p>
    <w:p w:rsidR="00CF5410" w:rsidRPr="00D62118" w:rsidRDefault="00CF5410">
      <w:pPr>
        <w:rPr>
          <w:sz w:val="22"/>
          <w:lang w:val="en-US"/>
        </w:rPr>
      </w:pPr>
    </w:p>
    <w:p w:rsidR="00CF5410" w:rsidRPr="00D62118" w:rsidRDefault="00CF5410">
      <w:pPr>
        <w:rPr>
          <w:sz w:val="22"/>
          <w:lang w:val="en-US"/>
        </w:rPr>
      </w:pPr>
      <w:r w:rsidRPr="00D62118">
        <w:rPr>
          <w:sz w:val="22"/>
          <w:lang w:val="en-US"/>
        </w:rPr>
        <w:t>Every student will keep a taster’s log of the wines sampled.  Included, for the sake of information ought to be for each bottle the appellation, the year of the vintage, the genus of the grape or grapes; for the sake of oenography, inclu</w:t>
      </w:r>
      <w:r w:rsidR="00127135">
        <w:rPr>
          <w:sz w:val="22"/>
          <w:lang w:val="en-US"/>
        </w:rPr>
        <w:t>ded should be notes about savor</w:t>
      </w:r>
      <w:r w:rsidRPr="00D62118">
        <w:rPr>
          <w:sz w:val="22"/>
          <w:lang w:val="en-US"/>
        </w:rPr>
        <w:t xml:space="preserve">:  the bouquet, the palette, and the finish ; the general « impression » of the wine in the context of others of similar origin or style ; the contrast between a wine of a given grape grown on one continent and its counterpart on another.  Along the way a grasp of geography—and, given the notion of </w:t>
      </w:r>
      <w:r w:rsidRPr="00D62118">
        <w:rPr>
          <w:i/>
          <w:sz w:val="22"/>
          <w:lang w:val="en-US"/>
        </w:rPr>
        <w:t>terroir</w:t>
      </w:r>
      <w:r w:rsidRPr="00D62118">
        <w:rPr>
          <w:sz w:val="22"/>
          <w:lang w:val="en-US"/>
        </w:rPr>
        <w:t xml:space="preserve">, of topography—will be needed, and thus students will be asked to draw or build an atlas of oenological maps.  As in earlier vintages of the seminar, students </w:t>
      </w:r>
      <w:r w:rsidR="00127135">
        <w:rPr>
          <w:sz w:val="22"/>
          <w:lang w:val="en-US"/>
        </w:rPr>
        <w:t xml:space="preserve">may wish </w:t>
      </w:r>
      <w:r w:rsidRPr="00D62118">
        <w:rPr>
          <w:sz w:val="22"/>
          <w:lang w:val="en-US"/>
        </w:rPr>
        <w:t xml:space="preserve">to do individual and/or </w:t>
      </w:r>
      <w:r w:rsidR="00127135">
        <w:rPr>
          <w:sz w:val="22"/>
          <w:lang w:val="en-US"/>
        </w:rPr>
        <w:t>focused</w:t>
      </w:r>
      <w:r w:rsidRPr="00D62118">
        <w:rPr>
          <w:sz w:val="22"/>
          <w:lang w:val="en-US"/>
        </w:rPr>
        <w:t xml:space="preserve"> </w:t>
      </w:r>
      <w:r w:rsidR="00127135">
        <w:rPr>
          <w:sz w:val="22"/>
          <w:lang w:val="en-US"/>
        </w:rPr>
        <w:lastRenderedPageBreak/>
        <w:t>presentations of chosen wines</w:t>
      </w:r>
      <w:r w:rsidRPr="00D62118">
        <w:rPr>
          <w:sz w:val="22"/>
          <w:lang w:val="en-US"/>
        </w:rPr>
        <w:t xml:space="preserve">.  We </w:t>
      </w:r>
      <w:r w:rsidR="00127135">
        <w:rPr>
          <w:sz w:val="22"/>
          <w:lang w:val="en-US"/>
        </w:rPr>
        <w:t xml:space="preserve">should like to open a web site on the Kirkland page where images, dialogue, and annotations can be registered. </w:t>
      </w:r>
    </w:p>
    <w:p w:rsidR="00CF5410" w:rsidRPr="00D62118" w:rsidRDefault="00CF5410">
      <w:pPr>
        <w:rPr>
          <w:sz w:val="22"/>
          <w:lang w:val="en-US"/>
        </w:rPr>
      </w:pPr>
    </w:p>
    <w:p w:rsidR="00CF5410" w:rsidRPr="00D62118" w:rsidRDefault="00CF5410">
      <w:pPr>
        <w:rPr>
          <w:i/>
          <w:sz w:val="22"/>
          <w:lang w:val="en-US"/>
        </w:rPr>
      </w:pPr>
      <w:r w:rsidRPr="00D62118">
        <w:rPr>
          <w:i/>
          <w:sz w:val="22"/>
          <w:lang w:val="en-US"/>
        </w:rPr>
        <w:t>Grading</w:t>
      </w:r>
    </w:p>
    <w:p w:rsidR="00CF5410" w:rsidRPr="00D62118" w:rsidRDefault="00CF5410">
      <w:pPr>
        <w:rPr>
          <w:sz w:val="22"/>
          <w:lang w:val="en-US"/>
        </w:rPr>
      </w:pPr>
    </w:p>
    <w:p w:rsidR="00CF5410" w:rsidRPr="00D62118" w:rsidRDefault="00CF5410">
      <w:pPr>
        <w:rPr>
          <w:sz w:val="22"/>
          <w:lang w:val="en-US"/>
        </w:rPr>
      </w:pPr>
      <w:r w:rsidRPr="00D62118">
        <w:rPr>
          <w:sz w:val="22"/>
          <w:lang w:val="en-US"/>
        </w:rPr>
        <w:t>Insofar as the class of 20</w:t>
      </w:r>
      <w:r>
        <w:rPr>
          <w:sz w:val="22"/>
          <w:lang w:val="en-US"/>
        </w:rPr>
        <w:t>1</w:t>
      </w:r>
      <w:r w:rsidR="00127135">
        <w:rPr>
          <w:sz w:val="22"/>
          <w:lang w:val="en-US"/>
        </w:rPr>
        <w:t>5</w:t>
      </w:r>
      <w:r w:rsidRPr="00D62118">
        <w:rPr>
          <w:sz w:val="22"/>
          <w:lang w:val="en-US"/>
        </w:rPr>
        <w:t xml:space="preserve"> cannot be offered for credit, good will </w:t>
      </w:r>
      <w:r w:rsidR="00127135">
        <w:rPr>
          <w:sz w:val="22"/>
          <w:lang w:val="en-US"/>
        </w:rPr>
        <w:t>and assiduity equal</w:t>
      </w:r>
      <w:r w:rsidRPr="00D62118">
        <w:rPr>
          <w:sz w:val="22"/>
          <w:lang w:val="en-US"/>
        </w:rPr>
        <w:t xml:space="preserve"> a good grade.  We can use </w:t>
      </w:r>
      <w:r w:rsidR="00127135">
        <w:rPr>
          <w:sz w:val="22"/>
          <w:lang w:val="en-US"/>
        </w:rPr>
        <w:t xml:space="preserve">what we gain together from </w:t>
      </w:r>
      <w:r w:rsidRPr="00D62118">
        <w:rPr>
          <w:sz w:val="22"/>
          <w:lang w:val="en-US"/>
        </w:rPr>
        <w:t xml:space="preserve">our community and what we gain together as matter that will recommend us </w:t>
      </w:r>
      <w:r w:rsidR="00127135">
        <w:rPr>
          <w:sz w:val="22"/>
          <w:lang w:val="en-US"/>
        </w:rPr>
        <w:t>cultivate our taste</w:t>
      </w:r>
      <w:r w:rsidRPr="00D62118">
        <w:rPr>
          <w:sz w:val="22"/>
          <w:lang w:val="en-US"/>
        </w:rPr>
        <w:t xml:space="preserve">.  Steady attendance and committed attention to the wines and </w:t>
      </w:r>
      <w:r>
        <w:rPr>
          <w:sz w:val="22"/>
          <w:lang w:val="en-US"/>
        </w:rPr>
        <w:t xml:space="preserve">to </w:t>
      </w:r>
      <w:r w:rsidRPr="00D62118">
        <w:rPr>
          <w:sz w:val="22"/>
          <w:lang w:val="en-US"/>
        </w:rPr>
        <w:t xml:space="preserve">their origins are crucial for success in the class, and so also is participation:  we all appreciate collective and convivial discussion that engages and moves about and around the wines and their savor. </w:t>
      </w:r>
    </w:p>
    <w:p w:rsidR="00CF5410" w:rsidRPr="00D62118" w:rsidRDefault="00CF5410">
      <w:pPr>
        <w:rPr>
          <w:sz w:val="22"/>
          <w:lang w:val="en-US"/>
        </w:rPr>
      </w:pPr>
    </w:p>
    <w:p w:rsidR="00CF5410" w:rsidRPr="00D62118" w:rsidRDefault="00CF5410">
      <w:pPr>
        <w:rPr>
          <w:i/>
          <w:sz w:val="22"/>
          <w:lang w:val="en-US"/>
        </w:rPr>
      </w:pPr>
      <w:r w:rsidRPr="00D62118">
        <w:rPr>
          <w:i/>
          <w:sz w:val="22"/>
          <w:lang w:val="en-US"/>
        </w:rPr>
        <w:t>Imagination and Image</w:t>
      </w:r>
    </w:p>
    <w:p w:rsidR="00CF5410" w:rsidRPr="00D62118" w:rsidRDefault="00CF5410">
      <w:pPr>
        <w:rPr>
          <w:i/>
          <w:sz w:val="22"/>
          <w:lang w:val="en-US"/>
        </w:rPr>
      </w:pPr>
    </w:p>
    <w:p w:rsidR="00CF5410" w:rsidRPr="00D62118" w:rsidRDefault="00CF5410">
      <w:pPr>
        <w:rPr>
          <w:sz w:val="22"/>
          <w:lang w:val="en-US"/>
        </w:rPr>
      </w:pPr>
      <w:r w:rsidRPr="00D62118">
        <w:rPr>
          <w:sz w:val="22"/>
          <w:lang w:val="en-US"/>
        </w:rPr>
        <w:t xml:space="preserve">Insofar as “geography is destiny” we would like to bring maps and local images to the class in order to have us gather a sense of the way that grapes figure in their landscapes.  We will make use of topographical maps (fairly good ones are found in Jancis/Robinson, while others can be taken from web or, for those who will be in Paris, purchased at the Legrand wine store—one of the best in the city—at the Passage Vivienne, 2e arrondissement, adjacent to the Place de la Victoire).  A new and changing field is found in viticultural cartography, especially in view of </w:t>
      </w:r>
      <w:r>
        <w:rPr>
          <w:sz w:val="22"/>
          <w:lang w:val="en-US"/>
        </w:rPr>
        <w:t xml:space="preserve">the consequence of </w:t>
      </w:r>
      <w:r w:rsidRPr="00D62118">
        <w:rPr>
          <w:sz w:val="22"/>
          <w:lang w:val="en-US"/>
        </w:rPr>
        <w:t xml:space="preserve">global warming.  </w:t>
      </w:r>
    </w:p>
    <w:p w:rsidR="00CF5410" w:rsidRPr="004046D5" w:rsidRDefault="00CF5410">
      <w:pPr>
        <w:rPr>
          <w:sz w:val="22"/>
          <w:lang w:val="en-US"/>
        </w:rPr>
      </w:pPr>
    </w:p>
    <w:p w:rsidR="00CF5410" w:rsidRPr="00D62118" w:rsidRDefault="00CF5410">
      <w:pPr>
        <w:rPr>
          <w:sz w:val="22"/>
          <w:lang w:val="en-US"/>
        </w:rPr>
      </w:pPr>
      <w:r w:rsidRPr="00D62118">
        <w:rPr>
          <w:i/>
          <w:sz w:val="22"/>
          <w:lang w:val="en-US"/>
        </w:rPr>
        <w:t>Further Thoughts</w:t>
      </w:r>
    </w:p>
    <w:p w:rsidR="00CF5410" w:rsidRPr="00D62118" w:rsidRDefault="00CF5410">
      <w:pPr>
        <w:rPr>
          <w:sz w:val="22"/>
          <w:lang w:val="en-US"/>
        </w:rPr>
      </w:pPr>
    </w:p>
    <w:p w:rsidR="00CF5410" w:rsidRPr="00D62118" w:rsidRDefault="00CF5410">
      <w:pPr>
        <w:rPr>
          <w:sz w:val="22"/>
          <w:lang w:val="en-US"/>
        </w:rPr>
      </w:pPr>
      <w:r w:rsidRPr="00D62118">
        <w:rPr>
          <w:sz w:val="22"/>
          <w:lang w:val="en-US"/>
        </w:rPr>
        <w:t xml:space="preserve">Since wine cannot be consumed without food, we will need to have a supply of bread and pitchers of water around the table.  We might want to coordinate our tastings with cheeses, at least in respect to what we study of France, Spain, and Italy.  Roland Barthes remarked (in </w:t>
      </w:r>
      <w:r w:rsidRPr="00D62118">
        <w:rPr>
          <w:i/>
          <w:sz w:val="22"/>
          <w:lang w:val="en-US"/>
        </w:rPr>
        <w:t>Mythologies</w:t>
      </w:r>
      <w:r w:rsidRPr="00D62118">
        <w:rPr>
          <w:sz w:val="22"/>
          <w:lang w:val="en-US"/>
        </w:rPr>
        <w:t>) that in France there exists a different cheese for every day of the year.  It would be difficult to bring 365 cheeses to the table, but nonetheless we might want to coordinate regional cheeses and their composition (</w:t>
      </w:r>
      <w:r w:rsidRPr="00D62118">
        <w:rPr>
          <w:i/>
          <w:sz w:val="22"/>
          <w:lang w:val="en-US"/>
        </w:rPr>
        <w:t>persillé</w:t>
      </w:r>
      <w:r w:rsidRPr="00D62118">
        <w:rPr>
          <w:sz w:val="22"/>
          <w:lang w:val="en-US"/>
        </w:rPr>
        <w:t xml:space="preserve">, </w:t>
      </w:r>
      <w:r>
        <w:rPr>
          <w:i/>
          <w:sz w:val="22"/>
          <w:lang w:val="en-US"/>
        </w:rPr>
        <w:t xml:space="preserve">à pâte molle lavée, crottin de chèvre, </w:t>
      </w:r>
      <w:r w:rsidRPr="00D62118">
        <w:rPr>
          <w:i/>
          <w:sz w:val="22"/>
          <w:lang w:val="en-US"/>
        </w:rPr>
        <w:t>fromage frais, rassis,</w:t>
      </w:r>
      <w:r>
        <w:rPr>
          <w:i/>
          <w:sz w:val="22"/>
          <w:lang w:val="en-US"/>
        </w:rPr>
        <w:t xml:space="preserve"> bien affiné,</w:t>
      </w:r>
      <w:r w:rsidRPr="00D62118">
        <w:rPr>
          <w:i/>
          <w:sz w:val="22"/>
          <w:lang w:val="en-US"/>
        </w:rPr>
        <w:t xml:space="preserve"> etc.)</w:t>
      </w:r>
      <w:r w:rsidRPr="00D62118">
        <w:rPr>
          <w:sz w:val="22"/>
          <w:lang w:val="en-US"/>
        </w:rPr>
        <w:t xml:space="preserve"> with the wines we taste.  Given the size and the desires of the class we </w:t>
      </w:r>
      <w:r>
        <w:rPr>
          <w:sz w:val="22"/>
          <w:lang w:val="en-US"/>
        </w:rPr>
        <w:t xml:space="preserve">ask </w:t>
      </w:r>
      <w:r w:rsidRPr="00D62118">
        <w:rPr>
          <w:sz w:val="22"/>
          <w:lang w:val="en-US"/>
        </w:rPr>
        <w:t>member</w:t>
      </w:r>
      <w:r>
        <w:rPr>
          <w:sz w:val="22"/>
          <w:lang w:val="en-US"/>
        </w:rPr>
        <w:t>s</w:t>
      </w:r>
      <w:r w:rsidRPr="00D62118">
        <w:rPr>
          <w:sz w:val="22"/>
          <w:lang w:val="en-US"/>
        </w:rPr>
        <w:t xml:space="preserve"> </w:t>
      </w:r>
      <w:r>
        <w:rPr>
          <w:sz w:val="22"/>
          <w:lang w:val="en-US"/>
        </w:rPr>
        <w:t xml:space="preserve">to </w:t>
      </w:r>
      <w:r w:rsidRPr="00D62118">
        <w:rPr>
          <w:sz w:val="22"/>
          <w:lang w:val="en-US"/>
        </w:rPr>
        <w:t xml:space="preserve">contribute </w:t>
      </w:r>
      <w:r>
        <w:rPr>
          <w:sz w:val="22"/>
          <w:lang w:val="en-US"/>
        </w:rPr>
        <w:t>$35</w:t>
      </w:r>
      <w:r w:rsidRPr="00D62118">
        <w:rPr>
          <w:sz w:val="22"/>
          <w:lang w:val="en-US"/>
        </w:rPr>
        <w:t xml:space="preserve">—as if it were an investment in books–to defray the costs of the weekly tastings. </w:t>
      </w:r>
    </w:p>
    <w:p w:rsidR="00CF5410" w:rsidRPr="00D62118" w:rsidRDefault="00CF5410">
      <w:pPr>
        <w:rPr>
          <w:sz w:val="22"/>
          <w:lang w:val="en-US"/>
        </w:rPr>
      </w:pPr>
    </w:p>
    <w:p w:rsidR="00CF5410" w:rsidRPr="004046D5" w:rsidRDefault="00CF5410">
      <w:pPr>
        <w:rPr>
          <w:sz w:val="22"/>
          <w:lang w:val="en-US"/>
        </w:rPr>
      </w:pPr>
      <w:r w:rsidRPr="00D62118">
        <w:rPr>
          <w:sz w:val="22"/>
          <w:lang w:val="en-US"/>
        </w:rPr>
        <w:t xml:space="preserve">At least two films can be included in the schedule:  </w:t>
      </w:r>
      <w:r w:rsidRPr="00D62118">
        <w:rPr>
          <w:i/>
          <w:sz w:val="22"/>
          <w:lang w:val="en-US"/>
        </w:rPr>
        <w:t>Mondovino</w:t>
      </w:r>
      <w:r w:rsidRPr="00D62118">
        <w:rPr>
          <w:sz w:val="22"/>
          <w:lang w:val="en-US"/>
        </w:rPr>
        <w:t xml:space="preserve"> (Jonathan Nossiter, 2004), about the globalization of wine; </w:t>
      </w:r>
      <w:r w:rsidRPr="00D62118">
        <w:rPr>
          <w:i/>
          <w:sz w:val="22"/>
          <w:lang w:val="en-US"/>
        </w:rPr>
        <w:t>Sideways</w:t>
      </w:r>
      <w:r w:rsidRPr="00D62118">
        <w:rPr>
          <w:sz w:val="22"/>
          <w:lang w:val="en-US"/>
        </w:rPr>
        <w:t xml:space="preserve"> (Alexander Payne, 2004).</w:t>
      </w:r>
      <w:r>
        <w:rPr>
          <w:sz w:val="22"/>
          <w:lang w:val="en-US"/>
        </w:rPr>
        <w:t xml:space="preserve"> </w:t>
      </w:r>
      <w:r w:rsidRPr="00D62118">
        <w:rPr>
          <w:sz w:val="22"/>
          <w:lang w:val="en-US"/>
        </w:rPr>
        <w:t>We should like to schedule (but cannot yet promise) visits from savant oenophiles</w:t>
      </w:r>
      <w:r>
        <w:rPr>
          <w:sz w:val="22"/>
          <w:lang w:val="en-US"/>
        </w:rPr>
        <w:t xml:space="preserve"> in the area.</w:t>
      </w:r>
    </w:p>
    <w:p w:rsidR="00CF5410" w:rsidRPr="00D62118" w:rsidRDefault="00CF5410">
      <w:pPr>
        <w:rPr>
          <w:sz w:val="22"/>
          <w:lang w:val="en-US"/>
        </w:rPr>
      </w:pPr>
    </w:p>
    <w:p w:rsidR="00CF5410" w:rsidRPr="00D62118" w:rsidRDefault="001C230B">
      <w:pPr>
        <w:rPr>
          <w:i/>
          <w:sz w:val="22"/>
          <w:lang w:val="en-US"/>
        </w:rPr>
      </w:pPr>
      <w:r>
        <w:rPr>
          <w:i/>
          <w:sz w:val="22"/>
          <w:lang w:val="en-US"/>
        </w:rPr>
        <w:br w:type="page"/>
      </w:r>
      <w:r w:rsidR="00CF5410" w:rsidRPr="00D62118">
        <w:rPr>
          <w:i/>
          <w:sz w:val="22"/>
          <w:lang w:val="en-US"/>
        </w:rPr>
        <w:lastRenderedPageBreak/>
        <w:t>Schedule</w:t>
      </w:r>
    </w:p>
    <w:p w:rsidR="00CF5410" w:rsidRPr="00D62118" w:rsidRDefault="00CF5410">
      <w:pPr>
        <w:rPr>
          <w:sz w:val="22"/>
          <w:lang w:val="en-US"/>
        </w:rPr>
      </w:pPr>
    </w:p>
    <w:p w:rsidR="00CF5410" w:rsidRPr="00D62118" w:rsidRDefault="00CF5410">
      <w:pPr>
        <w:rPr>
          <w:sz w:val="22"/>
          <w:lang w:val="en-US"/>
        </w:rPr>
      </w:pPr>
      <w:r w:rsidRPr="00D62118">
        <w:rPr>
          <w:sz w:val="22"/>
          <w:lang w:val="en-US"/>
        </w:rPr>
        <w:t xml:space="preserve">Week of </w:t>
      </w:r>
      <w:r>
        <w:rPr>
          <w:sz w:val="22"/>
          <w:lang w:val="en-US"/>
        </w:rPr>
        <w:t xml:space="preserve">February </w:t>
      </w:r>
      <w:r w:rsidR="00127135">
        <w:rPr>
          <w:sz w:val="22"/>
          <w:lang w:val="en-US"/>
        </w:rPr>
        <w:t>3</w:t>
      </w:r>
    </w:p>
    <w:p w:rsidR="00CF5410" w:rsidRPr="00D62118" w:rsidRDefault="00CF5410">
      <w:pPr>
        <w:rPr>
          <w:sz w:val="22"/>
          <w:lang w:val="en-US"/>
        </w:rPr>
      </w:pPr>
    </w:p>
    <w:p w:rsidR="00CF5410" w:rsidRPr="00D62118" w:rsidRDefault="00CF5410" w:rsidP="00CF5410">
      <w:pPr>
        <w:rPr>
          <w:sz w:val="22"/>
          <w:lang w:val="en-US"/>
        </w:rPr>
      </w:pPr>
      <w:r w:rsidRPr="00D62118">
        <w:rPr>
          <w:sz w:val="22"/>
          <w:lang w:val="en-US"/>
        </w:rPr>
        <w:t xml:space="preserve">Introduction.  Etiquette and </w:t>
      </w:r>
      <w:r w:rsidRPr="00D62118">
        <w:rPr>
          <w:i/>
          <w:sz w:val="22"/>
          <w:lang w:val="en-US"/>
        </w:rPr>
        <w:t>étiquette </w:t>
      </w:r>
      <w:r w:rsidRPr="00D62118">
        <w:rPr>
          <w:sz w:val="22"/>
          <w:lang w:val="en-US"/>
        </w:rPr>
        <w:t xml:space="preserve">; shape and contour of the bottle and the glass ; the label; fermentation ; aging ; signs of taste (tannins, oak, fruit); a poetics of description. The construction of a </w:t>
      </w:r>
      <w:r w:rsidRPr="00D62118">
        <w:rPr>
          <w:i/>
          <w:sz w:val="22"/>
          <w:lang w:val="en-US"/>
        </w:rPr>
        <w:t>cave</w:t>
      </w:r>
      <w:r w:rsidRPr="00D62118">
        <w:rPr>
          <w:sz w:val="22"/>
          <w:lang w:val="en-US"/>
        </w:rPr>
        <w:t xml:space="preserve"> and a collection, with emphasis placed on </w:t>
      </w:r>
      <w:r w:rsidRPr="00D62118">
        <w:rPr>
          <w:i/>
          <w:sz w:val="22"/>
          <w:lang w:val="en-US"/>
        </w:rPr>
        <w:t>focus</w:t>
      </w:r>
      <w:r w:rsidRPr="00D62118">
        <w:rPr>
          <w:sz w:val="22"/>
          <w:lang w:val="en-US"/>
        </w:rPr>
        <w:t xml:space="preserve">.  The wines of the Loire:  whites contrasted:  Muscadet (its grape the </w:t>
      </w:r>
      <w:r>
        <w:rPr>
          <w:i/>
          <w:sz w:val="22"/>
          <w:lang w:val="en-US"/>
        </w:rPr>
        <w:t>m</w:t>
      </w:r>
      <w:r w:rsidRPr="00D62118">
        <w:rPr>
          <w:i/>
          <w:sz w:val="22"/>
          <w:lang w:val="en-US"/>
        </w:rPr>
        <w:t>elon de Bou</w:t>
      </w:r>
      <w:r>
        <w:rPr>
          <w:i/>
          <w:sz w:val="22"/>
          <w:lang w:val="en-US"/>
        </w:rPr>
        <w:t>r</w:t>
      </w:r>
      <w:r w:rsidRPr="00D62118">
        <w:rPr>
          <w:i/>
          <w:sz w:val="22"/>
          <w:lang w:val="en-US"/>
        </w:rPr>
        <w:t>gogne</w:t>
      </w:r>
      <w:r>
        <w:rPr>
          <w:sz w:val="22"/>
          <w:lang w:val="en-US"/>
        </w:rPr>
        <w:t>), dry and crisp, softly acrid like mother-of-pearl; Vouvray and Cheverny (</w:t>
      </w:r>
      <w:r>
        <w:rPr>
          <w:i/>
          <w:sz w:val="22"/>
          <w:lang w:val="en-US"/>
        </w:rPr>
        <w:t>chenin blanc</w:t>
      </w:r>
      <w:r>
        <w:rPr>
          <w:sz w:val="22"/>
          <w:lang w:val="en-US"/>
        </w:rPr>
        <w:t xml:space="preserve"> and </w:t>
      </w:r>
      <w:r>
        <w:rPr>
          <w:i/>
          <w:sz w:val="22"/>
          <w:lang w:val="en-US"/>
        </w:rPr>
        <w:t>sauvignon blanc</w:t>
      </w:r>
      <w:r>
        <w:rPr>
          <w:sz w:val="22"/>
          <w:lang w:val="en-US"/>
        </w:rPr>
        <w:t xml:space="preserve">, while further east </w:t>
      </w:r>
      <w:r>
        <w:rPr>
          <w:i/>
          <w:sz w:val="22"/>
          <w:lang w:val="en-US"/>
        </w:rPr>
        <w:t>chardonnay</w:t>
      </w:r>
      <w:r>
        <w:rPr>
          <w:sz w:val="22"/>
          <w:lang w:val="en-US"/>
        </w:rPr>
        <w:t xml:space="preserve"> for Sancerre and Poully-Fumé.  T</w:t>
      </w:r>
      <w:r w:rsidRPr="00D62118">
        <w:rPr>
          <w:sz w:val="22"/>
          <w:lang w:val="en-US"/>
        </w:rPr>
        <w:t>wo great</w:t>
      </w:r>
      <w:r>
        <w:rPr>
          <w:sz w:val="22"/>
          <w:lang w:val="en-US"/>
        </w:rPr>
        <w:t xml:space="preserve"> and uncommon</w:t>
      </w:r>
      <w:r w:rsidRPr="00D62118">
        <w:rPr>
          <w:sz w:val="22"/>
          <w:lang w:val="en-US"/>
        </w:rPr>
        <w:t xml:space="preserve"> reds:  Bourgeuil and Chinon</w:t>
      </w:r>
      <w:r>
        <w:rPr>
          <w:sz w:val="22"/>
          <w:lang w:val="en-US"/>
        </w:rPr>
        <w:t xml:space="preserve"> based on </w:t>
      </w:r>
      <w:r>
        <w:rPr>
          <w:i/>
          <w:sz w:val="22"/>
          <w:lang w:val="en-US"/>
        </w:rPr>
        <w:t>cabernet franc</w:t>
      </w:r>
      <w:r>
        <w:rPr>
          <w:sz w:val="22"/>
          <w:lang w:val="en-US"/>
        </w:rPr>
        <w:t>:.</w:t>
      </w:r>
      <w:r w:rsidRPr="00D62118">
        <w:rPr>
          <w:sz w:val="22"/>
          <w:lang w:val="en-US"/>
        </w:rPr>
        <w:t xml:space="preserve">  </w:t>
      </w:r>
      <w:r>
        <w:rPr>
          <w:sz w:val="22"/>
          <w:lang w:val="en-US"/>
        </w:rPr>
        <w:t xml:space="preserve">The whites: </w:t>
      </w:r>
      <w:r w:rsidRPr="00D62118">
        <w:rPr>
          <w:sz w:val="22"/>
          <w:lang w:val="en-US"/>
        </w:rPr>
        <w:t xml:space="preserve">Muscadet and Muscadet-sur-lie; Vouvray dry and Vouvray </w:t>
      </w:r>
      <w:r w:rsidRPr="00D62118">
        <w:rPr>
          <w:i/>
          <w:sz w:val="22"/>
          <w:lang w:val="en-US"/>
        </w:rPr>
        <w:t>moelleux</w:t>
      </w:r>
      <w:r w:rsidRPr="00D62118">
        <w:rPr>
          <w:sz w:val="22"/>
          <w:lang w:val="en-US"/>
        </w:rPr>
        <w:t xml:space="preserve">.  </w:t>
      </w:r>
      <w:r>
        <w:rPr>
          <w:sz w:val="22"/>
          <w:lang w:val="en-US"/>
        </w:rPr>
        <w:t>Sancerre, “la craie”, to be contrasted with a softer Pouilly-Fumé.  The</w:t>
      </w:r>
      <w:r w:rsidRPr="00D62118">
        <w:rPr>
          <w:sz w:val="22"/>
          <w:lang w:val="en-US"/>
        </w:rPr>
        <w:t xml:space="preserve"> Tou</w:t>
      </w:r>
      <w:r>
        <w:rPr>
          <w:sz w:val="22"/>
          <w:lang w:val="en-US"/>
        </w:rPr>
        <w:t>raine, “le jardin de la France”, that harbors</w:t>
      </w:r>
      <w:r w:rsidRPr="00D62118">
        <w:rPr>
          <w:sz w:val="22"/>
          <w:lang w:val="en-US"/>
        </w:rPr>
        <w:t xml:space="preserve"> </w:t>
      </w:r>
      <w:r>
        <w:rPr>
          <w:sz w:val="22"/>
          <w:lang w:val="en-US"/>
        </w:rPr>
        <w:t>memories of</w:t>
      </w:r>
      <w:r w:rsidRPr="00D62118">
        <w:rPr>
          <w:sz w:val="22"/>
          <w:lang w:val="en-US"/>
        </w:rPr>
        <w:t xml:space="preserve"> Rabelais</w:t>
      </w:r>
      <w:r>
        <w:rPr>
          <w:sz w:val="22"/>
          <w:lang w:val="en-US"/>
        </w:rPr>
        <w:t>, Du Bellay, Ronsard and Balzac….</w:t>
      </w:r>
      <w:r w:rsidRPr="00D62118">
        <w:rPr>
          <w:sz w:val="22"/>
          <w:lang w:val="en-US"/>
        </w:rPr>
        <w:t xml:space="preserve"> </w:t>
      </w:r>
    </w:p>
    <w:p w:rsidR="00CF5410" w:rsidRPr="00D62118" w:rsidRDefault="00CF5410" w:rsidP="00CF5410">
      <w:pPr>
        <w:rPr>
          <w:sz w:val="22"/>
          <w:lang w:val="en-US"/>
        </w:rPr>
      </w:pPr>
      <w:r w:rsidRPr="00D62118">
        <w:rPr>
          <w:sz w:val="22"/>
          <w:lang w:val="en-US"/>
        </w:rPr>
        <w:t xml:space="preserve"> </w:t>
      </w:r>
    </w:p>
    <w:p w:rsidR="00AD6833" w:rsidRDefault="00CF5410" w:rsidP="00CF5410">
      <w:pPr>
        <w:rPr>
          <w:sz w:val="22"/>
          <w:lang w:val="en-US"/>
        </w:rPr>
      </w:pPr>
      <w:r w:rsidRPr="00D62118">
        <w:rPr>
          <w:sz w:val="22"/>
          <w:lang w:val="en-US"/>
        </w:rPr>
        <w:t xml:space="preserve">Read: Barthes, </w:t>
      </w:r>
      <w:r w:rsidRPr="00D62118">
        <w:rPr>
          <w:i/>
          <w:sz w:val="22"/>
          <w:lang w:val="en-US"/>
        </w:rPr>
        <w:t>Mythologies</w:t>
      </w:r>
      <w:r w:rsidRPr="00D62118">
        <w:rPr>
          <w:sz w:val="22"/>
          <w:lang w:val="en-US"/>
        </w:rPr>
        <w:t xml:space="preserve">, on wine, cheese, and milk; begin Lynch, </w:t>
      </w:r>
      <w:r w:rsidRPr="00D62118">
        <w:rPr>
          <w:i/>
          <w:sz w:val="22"/>
          <w:lang w:val="en-US"/>
        </w:rPr>
        <w:t>Adventures…</w:t>
      </w:r>
      <w:r w:rsidRPr="00D62118">
        <w:rPr>
          <w:sz w:val="22"/>
          <w:lang w:val="en-US"/>
        </w:rPr>
        <w:t xml:space="preserve">; read:  Johnson/Robinson, 7-50; 116-23; read also:  “The Wine Snob’s Dictionary” (handout). </w:t>
      </w:r>
    </w:p>
    <w:p w:rsidR="00AD6833" w:rsidRDefault="00AD6833" w:rsidP="00CF5410">
      <w:pPr>
        <w:rPr>
          <w:sz w:val="22"/>
          <w:lang w:val="en-US"/>
        </w:rPr>
      </w:pPr>
    </w:p>
    <w:p w:rsidR="00CF5410" w:rsidRPr="00D62118" w:rsidRDefault="00AD6833" w:rsidP="00CF5410">
      <w:pPr>
        <w:rPr>
          <w:sz w:val="22"/>
          <w:lang w:val="en-US"/>
        </w:rPr>
      </w:pPr>
      <w:r>
        <w:rPr>
          <w:sz w:val="22"/>
          <w:lang w:val="en-US"/>
        </w:rPr>
        <w:t>&lt;&lt;&lt;&lt;February 11&gt;&gt;&gt;&gt;  Visit of Eric Asimov to the Harvard Wine Society (Kirkland JCR).  A lotteried event.</w:t>
      </w:r>
      <w:r w:rsidR="00CF5410" w:rsidRPr="00D62118">
        <w:rPr>
          <w:sz w:val="22"/>
          <w:lang w:val="en-US"/>
        </w:rPr>
        <w:t xml:space="preserve"> </w:t>
      </w:r>
    </w:p>
    <w:p w:rsidR="00CF5410" w:rsidRPr="00D62118" w:rsidRDefault="00CF5410" w:rsidP="00CF5410">
      <w:pPr>
        <w:rPr>
          <w:sz w:val="22"/>
          <w:lang w:val="en-US"/>
        </w:rPr>
      </w:pPr>
      <w:r w:rsidRPr="00D62118">
        <w:rPr>
          <w:sz w:val="22"/>
          <w:lang w:val="en-US"/>
        </w:rPr>
        <w:t xml:space="preserve"> </w:t>
      </w:r>
    </w:p>
    <w:p w:rsidR="00CF5410" w:rsidRPr="00D62118" w:rsidRDefault="00CF5410" w:rsidP="00CF5410">
      <w:pPr>
        <w:rPr>
          <w:sz w:val="22"/>
          <w:lang w:val="en-US"/>
        </w:rPr>
      </w:pPr>
      <w:r w:rsidRPr="00D62118">
        <w:rPr>
          <w:sz w:val="22"/>
          <w:lang w:val="en-US"/>
        </w:rPr>
        <w:t xml:space="preserve">Week of February </w:t>
      </w:r>
      <w:r>
        <w:rPr>
          <w:sz w:val="22"/>
          <w:lang w:val="en-US"/>
        </w:rPr>
        <w:t>1</w:t>
      </w:r>
      <w:r w:rsidR="00127135">
        <w:rPr>
          <w:sz w:val="22"/>
          <w:lang w:val="en-US"/>
        </w:rPr>
        <w:t>7</w:t>
      </w:r>
    </w:p>
    <w:p w:rsidR="00CF5410" w:rsidRPr="00D62118" w:rsidRDefault="00CF5410" w:rsidP="00CF5410">
      <w:pPr>
        <w:rPr>
          <w:sz w:val="22"/>
          <w:lang w:val="en-US"/>
        </w:rPr>
      </w:pPr>
    </w:p>
    <w:p w:rsidR="00CF5410" w:rsidRPr="00D62118" w:rsidRDefault="00CF5410" w:rsidP="00CF5410">
      <w:pPr>
        <w:rPr>
          <w:sz w:val="22"/>
          <w:lang w:val="en-US"/>
        </w:rPr>
      </w:pPr>
      <w:r>
        <w:rPr>
          <w:sz w:val="22"/>
          <w:lang w:val="en-US"/>
        </w:rPr>
        <w:t xml:space="preserve">Valentine’s Day means red wine: heading south and west, we’ll sample </w:t>
      </w:r>
      <w:r w:rsidRPr="00D62118">
        <w:rPr>
          <w:sz w:val="22"/>
          <w:lang w:val="en-US"/>
        </w:rPr>
        <w:t xml:space="preserve">the noble vintages of the Bordelais:  Bordeaux and the two shores of the Gironde:  Graves, Pessac-Leognan, Saint-Emilion on the one side and on the other, Médoc, Saint-Julien, Pauillac, Margaux….  Mention of the great vintages in the hope that one day we will sample them:  Léoville-Las-Cases, Palmer, Margaux, Haut-Brion, Calon-Ségur, Mouton-Rothschild, Lafitte-Rothchild, and the lesser but great growths: Beychevelle, Meyney, and a variety of crus bourgeois.  Cabernet sauvignon, merlot, cabernet franc, </w:t>
      </w:r>
      <w:r>
        <w:rPr>
          <w:sz w:val="22"/>
          <w:lang w:val="en-US"/>
        </w:rPr>
        <w:t xml:space="preserve">petit verdot, </w:t>
      </w:r>
      <w:r w:rsidRPr="00D62118">
        <w:rPr>
          <w:sz w:val="22"/>
          <w:lang w:val="en-US"/>
        </w:rPr>
        <w:t>sauvignon blanc.  Selection will be made according to the pocketbook, but will include, surely: Saint-Emilion, Lussac-Saint-Emilion, Côtes du Bourg, Bordeaux Supérieur</w:t>
      </w:r>
      <w:r>
        <w:rPr>
          <w:sz w:val="22"/>
          <w:lang w:val="en-US"/>
        </w:rPr>
        <w:t>, Médoc</w:t>
      </w:r>
      <w:r w:rsidRPr="00D62118">
        <w:rPr>
          <w:sz w:val="22"/>
          <w:lang w:val="en-US"/>
        </w:rPr>
        <w:t xml:space="preserve">.  A geography is vital for understanding this area of enormous and unsurpassed production.  </w:t>
      </w:r>
    </w:p>
    <w:p w:rsidR="00CF5410" w:rsidRPr="00D62118" w:rsidRDefault="00CF5410" w:rsidP="00CF5410">
      <w:pPr>
        <w:rPr>
          <w:sz w:val="22"/>
          <w:lang w:val="en-US"/>
        </w:rPr>
      </w:pPr>
    </w:p>
    <w:p w:rsidR="00CF5410" w:rsidRPr="00D62118" w:rsidRDefault="00CF5410" w:rsidP="00CF5410">
      <w:pPr>
        <w:rPr>
          <w:sz w:val="22"/>
          <w:lang w:val="en-US"/>
        </w:rPr>
      </w:pPr>
      <w:r w:rsidRPr="00D62118">
        <w:rPr>
          <w:sz w:val="22"/>
          <w:lang w:val="en-US"/>
        </w:rPr>
        <w:t xml:space="preserve">Read: Lichine, on Bordeaux; Johnson/Robinson, 82-111.  </w:t>
      </w:r>
    </w:p>
    <w:p w:rsidR="00CF5410" w:rsidRPr="00D62118" w:rsidRDefault="00CF5410" w:rsidP="00CF5410">
      <w:pPr>
        <w:rPr>
          <w:sz w:val="22"/>
          <w:lang w:val="en-US"/>
        </w:rPr>
      </w:pPr>
    </w:p>
    <w:p w:rsidR="00CF5410" w:rsidRDefault="00CF5410" w:rsidP="00CF5410">
      <w:pPr>
        <w:rPr>
          <w:sz w:val="22"/>
          <w:lang w:val="en-US"/>
        </w:rPr>
      </w:pPr>
      <w:r w:rsidRPr="00D62118">
        <w:rPr>
          <w:sz w:val="22"/>
          <w:lang w:val="en-US"/>
        </w:rPr>
        <w:t xml:space="preserve">Week of </w:t>
      </w:r>
      <w:r>
        <w:rPr>
          <w:sz w:val="22"/>
          <w:lang w:val="en-US"/>
        </w:rPr>
        <w:t xml:space="preserve">March </w:t>
      </w:r>
      <w:r w:rsidR="00127135">
        <w:rPr>
          <w:sz w:val="22"/>
          <w:lang w:val="en-US"/>
        </w:rPr>
        <w:t>3</w:t>
      </w:r>
    </w:p>
    <w:p w:rsidR="00CF5410" w:rsidRDefault="00CF5410" w:rsidP="00CF5410">
      <w:pPr>
        <w:rPr>
          <w:sz w:val="22"/>
          <w:lang w:val="en-US"/>
        </w:rPr>
      </w:pPr>
    </w:p>
    <w:p w:rsidR="00CF5410" w:rsidRPr="0091522A" w:rsidRDefault="00CF5410" w:rsidP="00CF5410">
      <w:pPr>
        <w:rPr>
          <w:sz w:val="22"/>
          <w:lang w:val="en-US"/>
        </w:rPr>
      </w:pPr>
      <w:r>
        <w:rPr>
          <w:sz w:val="22"/>
          <w:lang w:val="en-US"/>
        </w:rPr>
        <w:t xml:space="preserve">Either the wines of the Roussillon that include Cahors, Bergerac, the Pyrénées, Minervois, Saint-Chinian, etc., and regions formerly given to bulk </w:t>
      </w:r>
      <w:r>
        <w:rPr>
          <w:i/>
          <w:sz w:val="22"/>
          <w:lang w:val="en-US"/>
        </w:rPr>
        <w:t>vin de table</w:t>
      </w:r>
      <w:r>
        <w:rPr>
          <w:sz w:val="22"/>
          <w:lang w:val="en-US"/>
        </w:rPr>
        <w:t xml:space="preserve"> that are now making extraordinary inroads with a variety of grapes:  Mourvèdre, Carignan, Malbec, Viognier, and blends of Syrah, Grenache and Merlot.  An area where prices remain reasonable, or…</w:t>
      </w:r>
    </w:p>
    <w:p w:rsidR="00CF5410" w:rsidRPr="00D62118" w:rsidRDefault="00CF5410" w:rsidP="00CF5410">
      <w:pPr>
        <w:rPr>
          <w:sz w:val="22"/>
          <w:lang w:val="en-US"/>
        </w:rPr>
      </w:pPr>
    </w:p>
    <w:p w:rsidR="00CF5410" w:rsidRPr="00D62118" w:rsidRDefault="00CF5410" w:rsidP="00CF5410">
      <w:pPr>
        <w:rPr>
          <w:sz w:val="22"/>
          <w:lang w:val="en-US"/>
        </w:rPr>
      </w:pPr>
      <w:r w:rsidRPr="00D62118">
        <w:rPr>
          <w:sz w:val="22"/>
          <w:lang w:val="en-US"/>
        </w:rPr>
        <w:lastRenderedPageBreak/>
        <w:t xml:space="preserve">Crossing the Rhône </w:t>
      </w:r>
      <w:r w:rsidRPr="00D62118">
        <w:rPr>
          <w:i/>
          <w:sz w:val="22"/>
          <w:lang w:val="en-US"/>
        </w:rPr>
        <w:t>sur le pont d’Avignon</w:t>
      </w:r>
      <w:r w:rsidRPr="00D62118">
        <w:rPr>
          <w:sz w:val="22"/>
          <w:lang w:val="en-US"/>
        </w:rPr>
        <w:t>:  echoes of Châteauneuf-du-Pape, the regal red; a sampling of the great reds along the Rhône:  Sablet, Gigondas, Vinsobres.  And the minor “quaffers”: the côtes du Lubéron and the côtes du Ventoux.  Introduction to the general appellation “Côtes du Rhône”:  th</w:t>
      </w:r>
      <w:r>
        <w:rPr>
          <w:sz w:val="22"/>
          <w:lang w:val="en-US"/>
        </w:rPr>
        <w:t>e varietal grapes that include G</w:t>
      </w:r>
      <w:r w:rsidRPr="00D62118">
        <w:rPr>
          <w:sz w:val="22"/>
          <w:lang w:val="en-US"/>
        </w:rPr>
        <w:t xml:space="preserve">renache, </w:t>
      </w:r>
      <w:r>
        <w:rPr>
          <w:sz w:val="22"/>
          <w:lang w:val="en-US"/>
        </w:rPr>
        <w:t>Cinsault, Mourvèdre, Syrah, C</w:t>
      </w:r>
      <w:r w:rsidRPr="00D62118">
        <w:rPr>
          <w:sz w:val="22"/>
          <w:lang w:val="en-US"/>
        </w:rPr>
        <w:t>arignan</w:t>
      </w:r>
      <w:r>
        <w:rPr>
          <w:sz w:val="22"/>
          <w:lang w:val="en-US"/>
        </w:rPr>
        <w:t>, Viognier</w:t>
      </w:r>
      <w:r w:rsidRPr="00D62118">
        <w:rPr>
          <w:sz w:val="22"/>
          <w:lang w:val="en-US"/>
        </w:rPr>
        <w:t xml:space="preserve">.   If possible, a glance at two great wines of the region:  Baumes-de-Venise (amber dessert wine) and Tavel, the rosé of rosés.  The </w:t>
      </w:r>
      <w:r>
        <w:rPr>
          <w:sz w:val="22"/>
          <w:lang w:val="en-US"/>
        </w:rPr>
        <w:t>Rhône</w:t>
      </w:r>
      <w:r w:rsidRPr="00D62118">
        <w:rPr>
          <w:sz w:val="22"/>
          <w:lang w:val="en-US"/>
        </w:rPr>
        <w:t xml:space="preserve">, being a very complex and variegated region, may indeed demand two sessions.   </w:t>
      </w:r>
    </w:p>
    <w:p w:rsidR="00CF5410" w:rsidRPr="00D62118" w:rsidRDefault="00CF5410" w:rsidP="00CF5410">
      <w:pPr>
        <w:rPr>
          <w:sz w:val="22"/>
          <w:lang w:val="en-US"/>
        </w:rPr>
      </w:pPr>
    </w:p>
    <w:p w:rsidR="00CF5410" w:rsidRPr="00D62118" w:rsidRDefault="00CF5410" w:rsidP="00CF5410">
      <w:pPr>
        <w:rPr>
          <w:sz w:val="22"/>
          <w:lang w:val="en-US"/>
        </w:rPr>
      </w:pPr>
      <w:r w:rsidRPr="00D62118">
        <w:rPr>
          <w:sz w:val="22"/>
          <w:lang w:val="en-US"/>
        </w:rPr>
        <w:t>Read: Johnson/Robinson, 134-37; 144-46.</w:t>
      </w:r>
    </w:p>
    <w:p w:rsidR="00CF5410" w:rsidRPr="00D62118" w:rsidRDefault="00CF5410" w:rsidP="00CF5410">
      <w:pPr>
        <w:rPr>
          <w:sz w:val="22"/>
          <w:lang w:val="en-US"/>
        </w:rPr>
      </w:pPr>
    </w:p>
    <w:p w:rsidR="00CF5410" w:rsidRPr="00D62118" w:rsidRDefault="00CF5410" w:rsidP="00CF5410">
      <w:pPr>
        <w:rPr>
          <w:sz w:val="22"/>
          <w:lang w:val="en-US"/>
        </w:rPr>
      </w:pPr>
      <w:r w:rsidRPr="00D62118">
        <w:rPr>
          <w:sz w:val="22"/>
          <w:lang w:val="en-US"/>
        </w:rPr>
        <w:t xml:space="preserve">Week of </w:t>
      </w:r>
      <w:r>
        <w:rPr>
          <w:sz w:val="22"/>
          <w:lang w:val="en-US"/>
        </w:rPr>
        <w:t xml:space="preserve">March </w:t>
      </w:r>
      <w:r w:rsidR="00127135">
        <w:rPr>
          <w:sz w:val="22"/>
          <w:lang w:val="en-US"/>
        </w:rPr>
        <w:t>31</w:t>
      </w:r>
      <w:r w:rsidRPr="00D62118">
        <w:rPr>
          <w:sz w:val="22"/>
          <w:lang w:val="en-US"/>
        </w:rPr>
        <w:t xml:space="preserve"> </w:t>
      </w:r>
    </w:p>
    <w:p w:rsidR="00CF5410" w:rsidRPr="00D62118" w:rsidRDefault="00CF5410" w:rsidP="00CF5410">
      <w:pPr>
        <w:rPr>
          <w:sz w:val="22"/>
          <w:lang w:val="en-US"/>
        </w:rPr>
      </w:pPr>
    </w:p>
    <w:p w:rsidR="00CF5410" w:rsidRPr="00D62118" w:rsidRDefault="00CF5410" w:rsidP="00CF5410">
      <w:pPr>
        <w:rPr>
          <w:sz w:val="22"/>
          <w:lang w:val="en-US"/>
        </w:rPr>
      </w:pPr>
      <w:r w:rsidRPr="00D62118">
        <w:rPr>
          <w:sz w:val="22"/>
          <w:lang w:val="en-US"/>
        </w:rPr>
        <w:t xml:space="preserve">Moving north along </w:t>
      </w:r>
      <w:r w:rsidRPr="00D62118">
        <w:rPr>
          <w:i/>
          <w:sz w:val="22"/>
          <w:lang w:val="en-US"/>
        </w:rPr>
        <w:t>la route du soleil</w:t>
      </w:r>
      <w:r w:rsidRPr="00D62118">
        <w:rPr>
          <w:sz w:val="22"/>
          <w:lang w:val="en-US"/>
        </w:rPr>
        <w:t xml:space="preserve"> and the River Rhône:  upper Rhônes, the “big” wines bearing the names Cornas, Hermitage, Crozes-Hermitage, Côte-Rotie, Saint-Joseph.  Reflections on the </w:t>
      </w:r>
      <w:r w:rsidRPr="00D62118">
        <w:rPr>
          <w:i/>
          <w:sz w:val="22"/>
          <w:lang w:val="en-US"/>
        </w:rPr>
        <w:t>syrah</w:t>
      </w:r>
      <w:r w:rsidRPr="00D62118">
        <w:rPr>
          <w:sz w:val="22"/>
          <w:lang w:val="en-US"/>
        </w:rPr>
        <w:t>, the grape that offsets the Grenache found about and below the “45</w:t>
      </w:r>
      <w:r w:rsidRPr="004046D5">
        <w:rPr>
          <w:sz w:val="22"/>
          <w:vertAlign w:val="superscript"/>
          <w:lang w:val="en-US"/>
        </w:rPr>
        <w:t>th</w:t>
      </w:r>
      <w:r w:rsidRPr="00D62118">
        <w:rPr>
          <w:sz w:val="22"/>
          <w:lang w:val="en-US"/>
        </w:rPr>
        <w:t xml:space="preserve"> Parallel”.   Some great and reasonable chardonnays:  Mâcon, Saint-Véran.  A geography of the “seven hills” of the Beaujolais:  Moulin-à-Vent, Brouilly, Juliénas, Morgon.  “Beaujolais” and “Beaujolais-Villages”; the gamay grape.  The myth of “Beaujolais nouveau”.</w:t>
      </w:r>
    </w:p>
    <w:p w:rsidR="00CF5410" w:rsidRPr="00D62118" w:rsidRDefault="00CF5410" w:rsidP="00CF5410">
      <w:pPr>
        <w:rPr>
          <w:sz w:val="22"/>
          <w:lang w:val="en-US"/>
        </w:rPr>
      </w:pPr>
    </w:p>
    <w:p w:rsidR="00CF5410" w:rsidRPr="00D62118" w:rsidRDefault="00CF5410" w:rsidP="00CF5410">
      <w:pPr>
        <w:rPr>
          <w:sz w:val="22"/>
          <w:lang w:val="en-US"/>
        </w:rPr>
      </w:pPr>
      <w:r w:rsidRPr="00D62118">
        <w:rPr>
          <w:sz w:val="22"/>
          <w:lang w:val="en-US"/>
        </w:rPr>
        <w:t>Burgundy, a noble color and a noble name.  Introduction to the appellations along the Côte d’or (and the Côtes de nuits).  From Dijon: from Pommard to Fixin  and Gevry-Chambertin to Volnay, Clos-Vougeot, and other acreage down to Beaune.  For lack of spondulicks, an appreciation of local vintages:  “Côtes de Beaune” and “Arrière-côtes de Beaune”; a sampling of the appellation “Bourgogne” and “pinot noir”; a Dijon tradition:  “Bourgogne aligoté” at the basis of the “Kir” (named after the canon Kir).</w:t>
      </w:r>
      <w:r>
        <w:rPr>
          <w:sz w:val="22"/>
          <w:lang w:val="en-US"/>
        </w:rPr>
        <w:t xml:space="preserve">  The greatest of grapes in the greatest of places: pinot noir on the Côte d’or.  </w:t>
      </w:r>
    </w:p>
    <w:p w:rsidR="00CF5410" w:rsidRPr="00D62118" w:rsidRDefault="00CF5410" w:rsidP="00CF5410">
      <w:pPr>
        <w:rPr>
          <w:sz w:val="22"/>
          <w:lang w:val="en-US"/>
        </w:rPr>
      </w:pPr>
    </w:p>
    <w:p w:rsidR="000750BD" w:rsidRDefault="00CF5410" w:rsidP="00CF5410">
      <w:pPr>
        <w:rPr>
          <w:sz w:val="22"/>
          <w:lang w:val="en-US"/>
        </w:rPr>
      </w:pPr>
      <w:r w:rsidRPr="00D62118">
        <w:rPr>
          <w:sz w:val="22"/>
          <w:lang w:val="en-US"/>
        </w:rPr>
        <w:t>Read: J</w:t>
      </w:r>
      <w:r w:rsidR="000750BD">
        <w:rPr>
          <w:sz w:val="22"/>
          <w:lang w:val="en-US"/>
        </w:rPr>
        <w:t>ohnson/Robinson, 54-74; 129-33.</w:t>
      </w:r>
    </w:p>
    <w:p w:rsidR="00E076B5" w:rsidRDefault="00E076B5" w:rsidP="00CF5410">
      <w:pPr>
        <w:rPr>
          <w:sz w:val="22"/>
          <w:lang w:val="en-US"/>
        </w:rPr>
      </w:pPr>
    </w:p>
    <w:p w:rsidR="00E076B5" w:rsidRDefault="00E076B5" w:rsidP="00CF5410">
      <w:pPr>
        <w:rPr>
          <w:sz w:val="22"/>
          <w:lang w:val="en-US"/>
        </w:rPr>
      </w:pPr>
    </w:p>
    <w:p w:rsidR="000750BD" w:rsidRDefault="000750BD" w:rsidP="00CF5410">
      <w:pPr>
        <w:rPr>
          <w:sz w:val="22"/>
          <w:lang w:val="en-US"/>
        </w:rPr>
      </w:pPr>
    </w:p>
    <w:p w:rsidR="00CF5410" w:rsidRDefault="00E076B5" w:rsidP="00CF5410">
      <w:pPr>
        <w:rPr>
          <w:sz w:val="22"/>
          <w:lang w:val="en-US"/>
        </w:rPr>
      </w:pPr>
      <w:r>
        <w:rPr>
          <w:sz w:val="22"/>
          <w:lang w:val="en-US"/>
        </w:rPr>
        <w:tab/>
      </w:r>
      <w:r>
        <w:rPr>
          <w:sz w:val="22"/>
          <w:lang w:val="en-US"/>
        </w:rPr>
        <w:tab/>
      </w:r>
      <w:r>
        <w:rPr>
          <w:sz w:val="22"/>
          <w:lang w:val="en-US"/>
        </w:rPr>
        <w:tab/>
      </w:r>
      <w:r>
        <w:rPr>
          <w:sz w:val="22"/>
          <w:lang w:val="en-US"/>
        </w:rPr>
        <w:tab/>
        <w:t>********</w:t>
      </w:r>
    </w:p>
    <w:p w:rsidR="00E076B5" w:rsidRDefault="00E076B5" w:rsidP="00CF5410">
      <w:pPr>
        <w:rPr>
          <w:sz w:val="22"/>
          <w:lang w:val="en-US"/>
        </w:rPr>
      </w:pPr>
      <w:r>
        <w:rPr>
          <w:sz w:val="22"/>
          <w:lang w:val="en-US"/>
        </w:rPr>
        <w:tab/>
      </w:r>
      <w:r>
        <w:rPr>
          <w:sz w:val="22"/>
          <w:lang w:val="en-US"/>
        </w:rPr>
        <w:tab/>
      </w:r>
      <w:r>
        <w:rPr>
          <w:sz w:val="22"/>
          <w:lang w:val="en-US"/>
        </w:rPr>
        <w:tab/>
      </w:r>
      <w:r>
        <w:rPr>
          <w:sz w:val="22"/>
          <w:lang w:val="en-US"/>
        </w:rPr>
        <w:tab/>
        <w:t xml:space="preserve">  *****</w:t>
      </w:r>
    </w:p>
    <w:p w:rsidR="00E076B5" w:rsidRDefault="00E076B5" w:rsidP="00CF5410">
      <w:pPr>
        <w:rPr>
          <w:sz w:val="22"/>
          <w:lang w:val="en-US"/>
        </w:rPr>
      </w:pPr>
      <w:r>
        <w:rPr>
          <w:sz w:val="22"/>
          <w:lang w:val="en-US"/>
        </w:rPr>
        <w:tab/>
      </w:r>
      <w:r>
        <w:rPr>
          <w:sz w:val="22"/>
          <w:lang w:val="en-US"/>
        </w:rPr>
        <w:tab/>
      </w:r>
      <w:r>
        <w:rPr>
          <w:sz w:val="22"/>
          <w:lang w:val="en-US"/>
        </w:rPr>
        <w:tab/>
      </w:r>
      <w:r>
        <w:rPr>
          <w:sz w:val="22"/>
          <w:lang w:val="en-US"/>
        </w:rPr>
        <w:tab/>
        <w:t xml:space="preserve">   ***</w:t>
      </w:r>
    </w:p>
    <w:p w:rsidR="00E076B5" w:rsidRDefault="00E076B5" w:rsidP="00CF5410">
      <w:pPr>
        <w:rPr>
          <w:sz w:val="22"/>
          <w:lang w:val="en-US"/>
        </w:rPr>
      </w:pPr>
      <w:r>
        <w:rPr>
          <w:sz w:val="22"/>
          <w:lang w:val="en-US"/>
        </w:rPr>
        <w:tab/>
      </w:r>
      <w:r>
        <w:rPr>
          <w:sz w:val="22"/>
          <w:lang w:val="en-US"/>
        </w:rPr>
        <w:tab/>
      </w:r>
      <w:r>
        <w:rPr>
          <w:sz w:val="22"/>
          <w:lang w:val="en-US"/>
        </w:rPr>
        <w:tab/>
      </w:r>
      <w:r>
        <w:rPr>
          <w:sz w:val="22"/>
          <w:lang w:val="en-US"/>
        </w:rPr>
        <w:tab/>
        <w:t xml:space="preserve">    **</w:t>
      </w:r>
    </w:p>
    <w:p w:rsidR="00E076B5" w:rsidRDefault="00E076B5" w:rsidP="00CF5410">
      <w:pPr>
        <w:rPr>
          <w:sz w:val="22"/>
          <w:lang w:val="en-US"/>
        </w:rPr>
      </w:pPr>
      <w:r>
        <w:rPr>
          <w:sz w:val="22"/>
          <w:lang w:val="en-US"/>
        </w:rPr>
        <w:tab/>
      </w:r>
      <w:r>
        <w:rPr>
          <w:sz w:val="22"/>
          <w:lang w:val="en-US"/>
        </w:rPr>
        <w:tab/>
      </w:r>
      <w:r>
        <w:rPr>
          <w:sz w:val="22"/>
          <w:lang w:val="en-US"/>
        </w:rPr>
        <w:tab/>
      </w:r>
      <w:r>
        <w:rPr>
          <w:sz w:val="22"/>
          <w:lang w:val="en-US"/>
        </w:rPr>
        <w:tab/>
        <w:t xml:space="preserve">     *</w:t>
      </w:r>
    </w:p>
    <w:p w:rsidR="000750BD" w:rsidRDefault="000750BD" w:rsidP="00CF5410">
      <w:pPr>
        <w:rPr>
          <w:sz w:val="22"/>
          <w:lang w:val="en-US"/>
        </w:rPr>
      </w:pPr>
    </w:p>
    <w:p w:rsidR="000750BD" w:rsidRPr="00D62118" w:rsidRDefault="00C07A4C" w:rsidP="00CF5410">
      <w:pPr>
        <w:rPr>
          <w:sz w:val="22"/>
          <w:lang w:val="en-US"/>
        </w:rPr>
      </w:pPr>
      <w:r>
        <w:rPr>
          <w:noProof/>
          <w:sz w:val="22"/>
          <w:lang w:val="en-US"/>
        </w:rPr>
        <w:lastRenderedPageBreak/>
        <w:drawing>
          <wp:inline distT="0" distB="0" distL="0" distR="0">
            <wp:extent cx="5486400" cy="3676650"/>
            <wp:effectExtent l="0" t="0" r="0" b="0"/>
            <wp:docPr id="4" name="Picture 4" descr="montai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ntaig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676650"/>
                    </a:xfrm>
                    <a:prstGeom prst="rect">
                      <a:avLst/>
                    </a:prstGeom>
                    <a:noFill/>
                    <a:ln>
                      <a:noFill/>
                    </a:ln>
                  </pic:spPr>
                </pic:pic>
              </a:graphicData>
            </a:graphic>
          </wp:inline>
        </w:drawing>
      </w:r>
    </w:p>
    <w:p w:rsidR="00CF5410" w:rsidRPr="00D62118" w:rsidRDefault="00CF5410" w:rsidP="00CF5410">
      <w:pPr>
        <w:rPr>
          <w:sz w:val="22"/>
          <w:lang w:val="en-US"/>
        </w:rPr>
      </w:pPr>
    </w:p>
    <w:p w:rsidR="000750BD" w:rsidRDefault="000750BD" w:rsidP="00CF5410">
      <w:pPr>
        <w:rPr>
          <w:sz w:val="22"/>
          <w:lang w:val="en-US"/>
        </w:rPr>
      </w:pPr>
      <w:r>
        <w:rPr>
          <w:sz w:val="22"/>
          <w:lang w:val="en-US"/>
        </w:rPr>
        <w:tab/>
      </w:r>
      <w:r>
        <w:rPr>
          <w:sz w:val="22"/>
          <w:lang w:val="en-US"/>
        </w:rPr>
        <w:tab/>
        <w:t xml:space="preserve">      Château de Montaigne (Bergerac) May 1, 2008</w:t>
      </w:r>
    </w:p>
    <w:p w:rsidR="000750BD" w:rsidRDefault="000750BD" w:rsidP="00CF5410">
      <w:pPr>
        <w:rPr>
          <w:sz w:val="22"/>
          <w:lang w:val="en-US"/>
        </w:rPr>
      </w:pPr>
    </w:p>
    <w:p w:rsidR="000750BD" w:rsidRDefault="000750BD" w:rsidP="00CF5410">
      <w:pPr>
        <w:rPr>
          <w:sz w:val="22"/>
          <w:lang w:val="en-US"/>
        </w:rPr>
      </w:pPr>
    </w:p>
    <w:p w:rsidR="00CF5410" w:rsidRPr="00D62118" w:rsidRDefault="00CF5410" w:rsidP="00CF5410">
      <w:pPr>
        <w:rPr>
          <w:sz w:val="22"/>
          <w:lang w:val="en-US"/>
        </w:rPr>
      </w:pPr>
      <w:r>
        <w:rPr>
          <w:sz w:val="22"/>
          <w:lang w:val="en-US"/>
        </w:rPr>
        <w:t xml:space="preserve">Week of April </w:t>
      </w:r>
      <w:r w:rsidR="00127135">
        <w:rPr>
          <w:sz w:val="22"/>
          <w:lang w:val="en-US"/>
        </w:rPr>
        <w:t>7</w:t>
      </w:r>
    </w:p>
    <w:p w:rsidR="00CF5410" w:rsidRPr="00D62118" w:rsidRDefault="00CF5410" w:rsidP="00CF5410">
      <w:pPr>
        <w:rPr>
          <w:sz w:val="22"/>
          <w:lang w:val="en-US"/>
        </w:rPr>
      </w:pPr>
    </w:p>
    <w:p w:rsidR="00CF5410" w:rsidRPr="00D62118" w:rsidRDefault="00CF5410" w:rsidP="00CF5410">
      <w:pPr>
        <w:rPr>
          <w:sz w:val="22"/>
          <w:lang w:val="en-US"/>
        </w:rPr>
      </w:pPr>
      <w:r w:rsidRPr="00D62118">
        <w:rPr>
          <w:sz w:val="22"/>
          <w:lang w:val="en-US"/>
        </w:rPr>
        <w:t xml:space="preserve">Introduction to the wines of Italy:  to the north, the  Piemontese (especially for the white, such as the </w:t>
      </w:r>
      <w:r w:rsidRPr="00D62118">
        <w:rPr>
          <w:i/>
          <w:sz w:val="22"/>
          <w:lang w:val="en-US"/>
        </w:rPr>
        <w:t>pinot grigio</w:t>
      </w:r>
      <w:r w:rsidRPr="00D62118">
        <w:rPr>
          <w:sz w:val="22"/>
          <w:lang w:val="en-US"/>
        </w:rPr>
        <w:t xml:space="preserve">, the grey pinot whose counterparts are in Alsace and now, tellingly, in Oregon and Washington.  Attention drawn to the </w:t>
      </w:r>
      <w:r w:rsidRPr="00D62118">
        <w:rPr>
          <w:i/>
          <w:sz w:val="22"/>
          <w:lang w:val="en-US"/>
        </w:rPr>
        <w:t>sangiovese</w:t>
      </w:r>
      <w:r w:rsidRPr="00D62118">
        <w:rPr>
          <w:sz w:val="22"/>
          <w:lang w:val="en-US"/>
        </w:rPr>
        <w:t xml:space="preserve"> that marks the reds of Tuscany.   Some essays:  Dolcetto versus Nebbiolo, Barbaresco and Chianti.  We dream of sampling Brunello or an Amarone, the great wines of the north and center).  We shall sam</w:t>
      </w:r>
      <w:r>
        <w:rPr>
          <w:sz w:val="22"/>
          <w:lang w:val="en-US"/>
        </w:rPr>
        <w:t>ple the nebbiolo grape and the negro a</w:t>
      </w:r>
      <w:r w:rsidRPr="00D62118">
        <w:rPr>
          <w:sz w:val="22"/>
          <w:lang w:val="en-US"/>
        </w:rPr>
        <w:t xml:space="preserve">maro of Puglia and Calabria. The wines of southern Italy: </w:t>
      </w:r>
      <w:r w:rsidRPr="004046D5">
        <w:rPr>
          <w:i/>
          <w:sz w:val="22"/>
          <w:lang w:val="en-US"/>
        </w:rPr>
        <w:t>primitivo</w:t>
      </w:r>
      <w:r w:rsidRPr="00D62118">
        <w:rPr>
          <w:sz w:val="22"/>
          <w:lang w:val="en-US"/>
        </w:rPr>
        <w:t xml:space="preserve">, the unique grape of Puglia and Calabria that migrates to northern California in the name of </w:t>
      </w:r>
      <w:r w:rsidRPr="00D62118">
        <w:rPr>
          <w:i/>
          <w:sz w:val="22"/>
          <w:lang w:val="en-US"/>
        </w:rPr>
        <w:t>zinfandel</w:t>
      </w:r>
      <w:r w:rsidRPr="00D62118">
        <w:rPr>
          <w:sz w:val="22"/>
          <w:lang w:val="en-US"/>
        </w:rPr>
        <w:t>.  The wines of Molise in contrast and comparison.  The great and deep red wines of Sicily</w:t>
      </w:r>
      <w:r w:rsidR="00AD6833">
        <w:rPr>
          <w:sz w:val="22"/>
          <w:lang w:val="en-US"/>
        </w:rPr>
        <w:t xml:space="preserve"> (see Asimov, </w:t>
      </w:r>
      <w:r w:rsidR="00AD6833">
        <w:rPr>
          <w:i/>
          <w:sz w:val="22"/>
          <w:lang w:val="en-US"/>
        </w:rPr>
        <w:t xml:space="preserve">NYT, </w:t>
      </w:r>
      <w:r w:rsidR="00AD6833">
        <w:rPr>
          <w:sz w:val="22"/>
          <w:lang w:val="en-US"/>
        </w:rPr>
        <w:t>January, for results of recent tasting that leans toward blended reds)</w:t>
      </w:r>
      <w:r w:rsidRPr="00D62118">
        <w:rPr>
          <w:sz w:val="22"/>
          <w:lang w:val="en-US"/>
        </w:rPr>
        <w:t xml:space="preserve">.  </w:t>
      </w:r>
    </w:p>
    <w:p w:rsidR="00CF5410" w:rsidRPr="00D62118" w:rsidRDefault="00CF5410" w:rsidP="00CF5410">
      <w:pPr>
        <w:rPr>
          <w:sz w:val="22"/>
          <w:lang w:val="en-US"/>
        </w:rPr>
      </w:pPr>
      <w:r w:rsidRPr="00D62118">
        <w:rPr>
          <w:sz w:val="22"/>
          <w:lang w:val="en-US"/>
        </w:rPr>
        <w:t xml:space="preserve">   </w:t>
      </w:r>
    </w:p>
    <w:p w:rsidR="00CF5410" w:rsidRPr="00D62118" w:rsidRDefault="00CF5410" w:rsidP="00CF5410">
      <w:pPr>
        <w:rPr>
          <w:sz w:val="22"/>
          <w:lang w:val="en-US"/>
        </w:rPr>
      </w:pPr>
      <w:r w:rsidRPr="00D62118">
        <w:rPr>
          <w:sz w:val="22"/>
          <w:lang w:val="en-US"/>
        </w:rPr>
        <w:t xml:space="preserve">Read: Johnson/Robinson, 153-85.  </w:t>
      </w:r>
    </w:p>
    <w:p w:rsidR="00CF5410" w:rsidRPr="00D62118" w:rsidRDefault="00CF5410" w:rsidP="00CF5410">
      <w:pPr>
        <w:rPr>
          <w:sz w:val="22"/>
          <w:lang w:val="en-US"/>
        </w:rPr>
      </w:pPr>
    </w:p>
    <w:p w:rsidR="00CF5410" w:rsidRPr="00D62118" w:rsidRDefault="00CF5410" w:rsidP="00CF5410">
      <w:pPr>
        <w:rPr>
          <w:sz w:val="22"/>
          <w:lang w:val="en-US"/>
        </w:rPr>
      </w:pPr>
      <w:r>
        <w:rPr>
          <w:sz w:val="22"/>
          <w:lang w:val="en-US"/>
        </w:rPr>
        <w:t xml:space="preserve">Week of </w:t>
      </w:r>
      <w:r w:rsidRPr="00D62118">
        <w:rPr>
          <w:sz w:val="22"/>
          <w:lang w:val="en-US"/>
        </w:rPr>
        <w:t xml:space="preserve">April </w:t>
      </w:r>
      <w:r w:rsidR="00127135">
        <w:rPr>
          <w:sz w:val="22"/>
          <w:lang w:val="en-US"/>
        </w:rPr>
        <w:t>21</w:t>
      </w:r>
    </w:p>
    <w:p w:rsidR="00CF5410" w:rsidRPr="00D62118" w:rsidRDefault="00CF5410" w:rsidP="00CF5410">
      <w:pPr>
        <w:rPr>
          <w:sz w:val="22"/>
          <w:lang w:val="en-US"/>
        </w:rPr>
      </w:pPr>
    </w:p>
    <w:p w:rsidR="00CF5410" w:rsidRDefault="00CF5410" w:rsidP="00CF5410">
      <w:pPr>
        <w:rPr>
          <w:sz w:val="22"/>
          <w:lang w:val="en-US"/>
        </w:rPr>
      </w:pPr>
      <w:r w:rsidRPr="00D62118">
        <w:rPr>
          <w:sz w:val="22"/>
          <w:lang w:val="en-US"/>
        </w:rPr>
        <w:t xml:space="preserve">The New World:  Californian reds: cabernet sauvignon, zinfandel, and pinot noir;  the pinot noir of Oregon and Washington.  Sonoma and Napa Valleys compared (zinfandel </w:t>
      </w:r>
      <w:r w:rsidRPr="00D62118">
        <w:rPr>
          <w:sz w:val="22"/>
          <w:lang w:val="en-US"/>
        </w:rPr>
        <w:lastRenderedPageBreak/>
        <w:t xml:space="preserve">in the former and the sauvignon in the latter).  A sampling of young and old red wines from various vines, young and old.  Comparison of Italian </w:t>
      </w:r>
      <w:r w:rsidRPr="007A4C4D">
        <w:rPr>
          <w:i/>
          <w:sz w:val="22"/>
          <w:lang w:val="en-US"/>
        </w:rPr>
        <w:t>primitivo</w:t>
      </w:r>
      <w:r w:rsidRPr="00D62118">
        <w:rPr>
          <w:sz w:val="22"/>
          <w:lang w:val="en-US"/>
        </w:rPr>
        <w:t xml:space="preserve"> (week of April 9) to California zinfandels (with special attention to “Amador County”).  The New World:  Argentina and Chile.  The malbec and sauvignon grapes.  Transplantation and new tastes.  A comparison and contrast of the “original” malbec in the region of Cahors and around Carcassonne (in southern France) to its new world counterpart.  If possible, some comparative tasting of the malbec rosé with a southern French counterpart from Tavel or, say, La Ciotat (Bandol).  Study of the industrial or “globalized”, highly “oaked” wines (produced for a world market) and those that carry a European signature.  Towards a new definition of Latin American </w:t>
      </w:r>
      <w:r w:rsidRPr="007A4C4D">
        <w:rPr>
          <w:i/>
          <w:sz w:val="22"/>
          <w:lang w:val="en-US"/>
        </w:rPr>
        <w:t>terroir</w:t>
      </w:r>
      <w:r w:rsidRPr="00D62118">
        <w:rPr>
          <w:sz w:val="22"/>
          <w:lang w:val="en-US"/>
        </w:rPr>
        <w:t xml:space="preserve">.  </w:t>
      </w:r>
    </w:p>
    <w:p w:rsidR="00CF5410" w:rsidRDefault="00CF5410" w:rsidP="00CF5410">
      <w:pPr>
        <w:rPr>
          <w:sz w:val="22"/>
          <w:lang w:val="en-US"/>
        </w:rPr>
      </w:pPr>
    </w:p>
    <w:p w:rsidR="00CF5410" w:rsidRPr="00D62118" w:rsidRDefault="00CF5410" w:rsidP="00CF5410">
      <w:pPr>
        <w:rPr>
          <w:sz w:val="22"/>
          <w:lang w:val="en-US"/>
        </w:rPr>
      </w:pPr>
      <w:r>
        <w:rPr>
          <w:sz w:val="22"/>
          <w:lang w:val="en-US"/>
        </w:rPr>
        <w:t xml:space="preserve">Week of April </w:t>
      </w:r>
      <w:r w:rsidR="00127135">
        <w:rPr>
          <w:sz w:val="22"/>
          <w:lang w:val="en-US"/>
        </w:rPr>
        <w:t>28</w:t>
      </w:r>
    </w:p>
    <w:p w:rsidR="00CF5410" w:rsidRPr="00D62118" w:rsidRDefault="00CF5410" w:rsidP="00CF5410">
      <w:pPr>
        <w:rPr>
          <w:sz w:val="22"/>
          <w:lang w:val="en-US"/>
        </w:rPr>
      </w:pPr>
    </w:p>
    <w:p w:rsidR="00CF5410" w:rsidRDefault="00127135" w:rsidP="00CF5410">
      <w:pPr>
        <w:rPr>
          <w:sz w:val="22"/>
          <w:lang w:val="en-US"/>
        </w:rPr>
      </w:pPr>
      <w:r>
        <w:rPr>
          <w:sz w:val="22"/>
          <w:lang w:val="en-US"/>
        </w:rPr>
        <w:t>Weather permitting, an outdoor tasting of summer wines: Rosé from Provence—notably, Tavel--and Touraine--Anjou, plus a moment</w:t>
      </w:r>
      <w:r w:rsidR="00CF5410">
        <w:rPr>
          <w:sz w:val="22"/>
          <w:lang w:val="en-US"/>
        </w:rPr>
        <w:t xml:space="preserve"> for suggestions and comparisons.  </w:t>
      </w:r>
      <w:r w:rsidR="00CF5410" w:rsidRPr="00D62118">
        <w:rPr>
          <w:sz w:val="22"/>
          <w:lang w:val="en-US"/>
        </w:rPr>
        <w:t xml:space="preserve">Presentations, conclusions, examinations and evaluations.  We should like to have a “virtual” final exam in the form of a review of grapes and regions along with a blind tasting of about a half-dozen wines, some having been sampled in the earlier weeks, others—for the sake of testing our lexicon—possibly unfamiliar to our palettes. </w:t>
      </w:r>
    </w:p>
    <w:p w:rsidR="005D0BCD" w:rsidRDefault="005D0BCD" w:rsidP="00CF5410">
      <w:pPr>
        <w:rPr>
          <w:sz w:val="22"/>
          <w:lang w:val="en-US"/>
        </w:rPr>
      </w:pPr>
    </w:p>
    <w:p w:rsidR="005D0BCD" w:rsidRDefault="005D0BCD" w:rsidP="00CF5410">
      <w:pPr>
        <w:rPr>
          <w:sz w:val="22"/>
          <w:lang w:val="en-US"/>
        </w:rPr>
      </w:pPr>
    </w:p>
    <w:p w:rsidR="005D0BCD" w:rsidRDefault="005D0BCD" w:rsidP="00CF5410">
      <w:pPr>
        <w:rPr>
          <w:sz w:val="22"/>
          <w:lang w:val="en-US"/>
        </w:rPr>
      </w:pPr>
    </w:p>
    <w:p w:rsidR="00CF5410" w:rsidRDefault="00CF5410" w:rsidP="00CF5410">
      <w:pPr>
        <w:rPr>
          <w:sz w:val="22"/>
          <w:lang w:val="en-US"/>
        </w:rPr>
      </w:pPr>
    </w:p>
    <w:p w:rsidR="00CF5410" w:rsidRPr="00D62118" w:rsidRDefault="00CF5410" w:rsidP="00CF5410">
      <w:pPr>
        <w:rPr>
          <w:sz w:val="22"/>
          <w:lang w:val="en-US"/>
        </w:rPr>
      </w:pPr>
      <w:bookmarkStart w:id="0" w:name="_GoBack"/>
      <w:bookmarkEnd w:id="0"/>
    </w:p>
    <w:sectPr w:rsidR="00CF5410" w:rsidRPr="00D62118">
      <w:headerReference w:type="default" r:id="rId12"/>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4D2" w:rsidRDefault="00D734D2">
      <w:r>
        <w:separator/>
      </w:r>
    </w:p>
  </w:endnote>
  <w:endnote w:type="continuationSeparator" w:id="0">
    <w:p w:rsidR="00D734D2" w:rsidRDefault="00D73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Palatino">
    <w:altName w:val="Book Antiqua"/>
    <w:charset w:val="00"/>
    <w:family w:val="auto"/>
    <w:pitch w:val="variable"/>
    <w:sig w:usb0="A00002FF" w:usb1="7800205A" w:usb2="14600000" w:usb3="00000000" w:csb0="000001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4D2" w:rsidRDefault="00D734D2">
      <w:r>
        <w:separator/>
      </w:r>
    </w:p>
  </w:footnote>
  <w:footnote w:type="continuationSeparator" w:id="0">
    <w:p w:rsidR="00D734D2" w:rsidRDefault="00D734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0BD" w:rsidRPr="0078463B" w:rsidRDefault="000750BD">
    <w:pPr>
      <w:pStyle w:val="Header"/>
      <w:rPr>
        <w:sz w:val="22"/>
      </w:rPr>
    </w:pPr>
    <w:r w:rsidRPr="0078463B">
      <w:rPr>
        <w:sz w:val="22"/>
      </w:rPr>
      <w:t>Oenographies : the Kirkland Wine Seminar</w:t>
    </w:r>
  </w:p>
  <w:p w:rsidR="000750BD" w:rsidRPr="0078463B" w:rsidRDefault="000750BD">
    <w:pPr>
      <w:pStyle w:val="Header"/>
      <w:rPr>
        <w:sz w:val="22"/>
      </w:rPr>
    </w:pPr>
    <w:r w:rsidRPr="0078463B">
      <w:rPr>
        <w:sz w:val="22"/>
      </w:rPr>
      <w:t>Spring 20</w:t>
    </w:r>
    <w:r>
      <w:rPr>
        <w:sz w:val="22"/>
      </w:rPr>
      <w:t>15</w:t>
    </w:r>
  </w:p>
  <w:p w:rsidR="000750BD" w:rsidRPr="0078463B" w:rsidRDefault="000750BD">
    <w:pPr>
      <w:pStyle w:val="Header"/>
      <w:rPr>
        <w:rStyle w:val="PageNumber"/>
        <w:sz w:val="22"/>
      </w:rPr>
    </w:pPr>
    <w:r w:rsidRPr="0078463B">
      <w:rPr>
        <w:sz w:val="22"/>
      </w:rPr>
      <w:t xml:space="preserve">Page </w:t>
    </w:r>
    <w:r w:rsidRPr="0078463B">
      <w:rPr>
        <w:rStyle w:val="PageNumber"/>
        <w:sz w:val="22"/>
      </w:rPr>
      <w:fldChar w:fldCharType="begin"/>
    </w:r>
    <w:r w:rsidRPr="0078463B">
      <w:rPr>
        <w:rStyle w:val="PageNumber"/>
        <w:sz w:val="22"/>
      </w:rPr>
      <w:instrText xml:space="preserve"> PAGE </w:instrText>
    </w:r>
    <w:r w:rsidRPr="0078463B">
      <w:rPr>
        <w:rStyle w:val="PageNumber"/>
        <w:sz w:val="22"/>
      </w:rPr>
      <w:fldChar w:fldCharType="separate"/>
    </w:r>
    <w:r w:rsidR="00C07A4C">
      <w:rPr>
        <w:rStyle w:val="PageNumber"/>
        <w:noProof/>
        <w:sz w:val="22"/>
      </w:rPr>
      <w:t>9</w:t>
    </w:r>
    <w:r w:rsidRPr="0078463B">
      <w:rPr>
        <w:rStyle w:val="PageNumber"/>
        <w:sz w:val="22"/>
      </w:rPr>
      <w:fldChar w:fldCharType="end"/>
    </w:r>
  </w:p>
  <w:p w:rsidR="000750BD" w:rsidRPr="0078463B" w:rsidRDefault="000750BD">
    <w:pPr>
      <w:pStyle w:val="Header"/>
      <w:rPr>
        <w:rStyle w:val="PageNumber"/>
        <w:sz w:val="22"/>
      </w:rPr>
    </w:pPr>
  </w:p>
  <w:p w:rsidR="000750BD" w:rsidRPr="0078463B" w:rsidRDefault="000750BD">
    <w:pPr>
      <w:pStyle w:val="Header"/>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E9445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38C381E"/>
    <w:multiLevelType w:val="hybridMultilevel"/>
    <w:tmpl w:val="C9BA8E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118"/>
    <w:rsid w:val="000750BD"/>
    <w:rsid w:val="00127135"/>
    <w:rsid w:val="001A4F2F"/>
    <w:rsid w:val="001C230B"/>
    <w:rsid w:val="0041673F"/>
    <w:rsid w:val="005D0BCD"/>
    <w:rsid w:val="0076148E"/>
    <w:rsid w:val="009E7408"/>
    <w:rsid w:val="00AD6833"/>
    <w:rsid w:val="00B42443"/>
    <w:rsid w:val="00C07A4C"/>
    <w:rsid w:val="00CF5410"/>
    <w:rsid w:val="00D734D2"/>
    <w:rsid w:val="00E076B5"/>
  </w:rsids>
  <m:mathPr>
    <m:mathFont m:val="Cambria Math"/>
    <m:brkBin m:val="before"/>
    <m:brkBinSub m:val="--"/>
    <m:smallFrac m:val="0"/>
    <m:dispDef m:val="0"/>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rFonts w:ascii="Palatino" w:hAnsi="Palatino"/>
      <w:sz w:val="24"/>
      <w:lang w:val="fr-FR"/>
    </w:rPr>
  </w:style>
  <w:style w:type="paragraph" w:styleId="Heading1">
    <w:name w:val="heading 1"/>
    <w:basedOn w:val="Normal"/>
    <w:next w:val="Normal"/>
    <w:qFormat/>
    <w:pPr>
      <w:keepNext/>
      <w:ind w:left="720" w:hanging="720"/>
      <w:outlineLvl w:val="0"/>
    </w:pPr>
    <w:rPr>
      <w:i/>
      <w:sz w:val="22"/>
    </w:rPr>
  </w:style>
  <w:style w:type="character" w:default="1" w:styleId="DefaultParagraphFont">
    <w:name w:val="Default Paragraph Font"/>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22"/>
    </w:rPr>
  </w:style>
  <w:style w:type="character" w:styleId="Hyperlink">
    <w:name w:val="Hyperlink"/>
    <w:rPr>
      <w:color w:val="0000FF"/>
      <w:u w:val="single"/>
    </w:rPr>
  </w:style>
  <w:style w:type="paragraph" w:styleId="Footer">
    <w:name w:val="footer"/>
    <w:basedOn w:val="Normal"/>
    <w:semiHidden/>
    <w:rsid w:val="00D62118"/>
    <w:pPr>
      <w:tabs>
        <w:tab w:val="center" w:pos="4320"/>
        <w:tab w:val="right" w:pos="8640"/>
      </w:tabs>
    </w:pPr>
  </w:style>
  <w:style w:type="character" w:styleId="PageNumber">
    <w:name w:val="page number"/>
    <w:basedOn w:val="DefaultParagraphFont"/>
    <w:rsid w:val="00D62118"/>
  </w:style>
  <w:style w:type="paragraph" w:styleId="Header">
    <w:name w:val="header"/>
    <w:basedOn w:val="Normal"/>
    <w:rsid w:val="0078463B"/>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rFonts w:ascii="Palatino" w:hAnsi="Palatino"/>
      <w:sz w:val="24"/>
      <w:lang w:val="fr-FR"/>
    </w:rPr>
  </w:style>
  <w:style w:type="paragraph" w:styleId="Heading1">
    <w:name w:val="heading 1"/>
    <w:basedOn w:val="Normal"/>
    <w:next w:val="Normal"/>
    <w:qFormat/>
    <w:pPr>
      <w:keepNext/>
      <w:ind w:left="720" w:hanging="720"/>
      <w:outlineLvl w:val="0"/>
    </w:pPr>
    <w:rPr>
      <w:i/>
      <w:sz w:val="22"/>
    </w:rPr>
  </w:style>
  <w:style w:type="character" w:default="1" w:styleId="DefaultParagraphFont">
    <w:name w:val="Default Paragraph Font"/>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22"/>
    </w:rPr>
  </w:style>
  <w:style w:type="character" w:styleId="Hyperlink">
    <w:name w:val="Hyperlink"/>
    <w:rPr>
      <w:color w:val="0000FF"/>
      <w:u w:val="single"/>
    </w:rPr>
  </w:style>
  <w:style w:type="paragraph" w:styleId="Footer">
    <w:name w:val="footer"/>
    <w:basedOn w:val="Normal"/>
    <w:semiHidden/>
    <w:rsid w:val="00D62118"/>
    <w:pPr>
      <w:tabs>
        <w:tab w:val="center" w:pos="4320"/>
        <w:tab w:val="right" w:pos="8640"/>
      </w:tabs>
    </w:pPr>
  </w:style>
  <w:style w:type="character" w:styleId="PageNumber">
    <w:name w:val="page number"/>
    <w:basedOn w:val="DefaultParagraphFont"/>
    <w:rsid w:val="00D62118"/>
  </w:style>
  <w:style w:type="paragraph" w:styleId="Header">
    <w:name w:val="header"/>
    <w:basedOn w:val="Normal"/>
    <w:rsid w:val="0078463B"/>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tconley@fas.harvard.ed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2518</Words>
  <Characters>14356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Conley, Tom</vt:lpstr>
    </vt:vector>
  </TitlesOfParts>
  <Company>Harvard University</Company>
  <LinksUpToDate>false</LinksUpToDate>
  <CharactersWithSpaces>16841</CharactersWithSpaces>
  <SharedDoc>false</SharedDoc>
  <HLinks>
    <vt:vector size="30" baseType="variant">
      <vt:variant>
        <vt:i4>7733250</vt:i4>
      </vt:variant>
      <vt:variant>
        <vt:i4>0</vt:i4>
      </vt:variant>
      <vt:variant>
        <vt:i4>0</vt:i4>
      </vt:variant>
      <vt:variant>
        <vt:i4>5</vt:i4>
      </vt:variant>
      <vt:variant>
        <vt:lpwstr>mailto:tconley@fas.harvard.edu</vt:lpwstr>
      </vt:variant>
      <vt:variant>
        <vt:lpwstr/>
      </vt:variant>
      <vt:variant>
        <vt:i4>2228242</vt:i4>
      </vt:variant>
      <vt:variant>
        <vt:i4>2334</vt:i4>
      </vt:variant>
      <vt:variant>
        <vt:i4>1025</vt:i4>
      </vt:variant>
      <vt:variant>
        <vt:i4>1</vt:i4>
      </vt:variant>
      <vt:variant>
        <vt:lpwstr>saint-emilion spring 08</vt:lpwstr>
      </vt:variant>
      <vt:variant>
        <vt:lpwstr/>
      </vt:variant>
      <vt:variant>
        <vt:i4>2686977</vt:i4>
      </vt:variant>
      <vt:variant>
        <vt:i4>4341</vt:i4>
      </vt:variant>
      <vt:variant>
        <vt:i4>1026</vt:i4>
      </vt:variant>
      <vt:variant>
        <vt:i4>1</vt:i4>
      </vt:variant>
      <vt:variant>
        <vt:lpwstr>DSC_0762</vt:lpwstr>
      </vt:variant>
      <vt:variant>
        <vt:lpwstr/>
      </vt:variant>
      <vt:variant>
        <vt:i4>7471108</vt:i4>
      </vt:variant>
      <vt:variant>
        <vt:i4>8592</vt:i4>
      </vt:variant>
      <vt:variant>
        <vt:i4>1027</vt:i4>
      </vt:variant>
      <vt:variant>
        <vt:i4>1</vt:i4>
      </vt:variant>
      <vt:variant>
        <vt:lpwstr>gohorry</vt:lpwstr>
      </vt:variant>
      <vt:variant>
        <vt:lpwstr/>
      </vt:variant>
      <vt:variant>
        <vt:i4>1835104</vt:i4>
      </vt:variant>
      <vt:variant>
        <vt:i4>16453</vt:i4>
      </vt:variant>
      <vt:variant>
        <vt:i4>1028</vt:i4>
      </vt:variant>
      <vt:variant>
        <vt:i4>1</vt:i4>
      </vt:variant>
      <vt:variant>
        <vt:lpwstr>montaigne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Conley, Tom</dc:title>
  <dc:creator>Trial User</dc:creator>
  <cp:lastModifiedBy>Kate Drizos Cavell</cp:lastModifiedBy>
  <cp:revision>2</cp:revision>
  <cp:lastPrinted>2015-01-26T15:58:00Z</cp:lastPrinted>
  <dcterms:created xsi:type="dcterms:W3CDTF">2015-01-27T01:29:00Z</dcterms:created>
  <dcterms:modified xsi:type="dcterms:W3CDTF">2015-01-27T01:29:00Z</dcterms:modified>
</cp:coreProperties>
</file>